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475569"/>
          <w:sz w:val="22"/>
        </w:rPr>
        <w:t>UI_BENCH | 15/10/2026 | Huy Nguyễn Quốc</w:t>
        <w:br/>
      </w:r>
      <w:r>
        <w:rPr>
          <w:b/>
          <w:color w:val="0284C7"/>
          <w:sz w:val="36"/>
        </w:rPr>
        <w:t>Đo Lường &amp; Đánh Giá Chuẩn Đối Thủ (Competitor UI Benchmark)</w:t>
      </w:r>
    </w:p>
    <w:p>
      <w:r>
        <w:t>Tài liệu phân tích và đánh giá định lượng trải nghiệm người dùng (UX/UI Benchmark) trên thang điểm 10 giữa hệ thống MedSi (dựa trên giải pháp Frontend đã hiện thực) và 3 nền tảng y tế lớn nhất Việt Nam hiện nay: YouMed, Medpro và BookingCare. Mục tiêu của báo cáo Benchmark là chứng minh tính ưu việt của MedSi trong việc giải quyết bài toán đặt khám nhanh, định vị gần tôi và ngăn ngừa đặt trùng.</w:t>
      </w:r>
    </w:p>
    <w:p>
      <w:pPr>
        <w:pStyle w:val="Heading1"/>
      </w:pPr>
      <w:r>
        <w:t>1. Bảng Điểm Đo Lường Định Lượng (Thang điểm 10)</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284C7"/>
            <w:tcMar>
              <w:top w:w="100" w:type="dxa"/>
              <w:bottom w:w="100" w:type="dxa"/>
              <w:left w:w="140" w:type="dxa"/>
              <w:right w:w="140" w:type="dxa"/>
            </w:tcMar>
          </w:tcPr>
          <w:p>
            <w:pPr>
              <w:spacing w:before="40" w:after="40"/>
            </w:pPr>
            <w:r>
              <w:rPr>
                <w:rFonts w:ascii="Arial" w:hAnsi="Arial"/>
                <w:b/>
                <w:color w:val="FFFFFF"/>
                <w:sz w:val="19"/>
              </w:rPr>
              <w:t>STT</w:t>
            </w:r>
          </w:p>
        </w:tc>
        <w:tc>
          <w:tcPr>
            <w:tcW w:type="dxa" w:w="1560"/>
            <w:shd w:fill="0284C7"/>
            <w:tcMar>
              <w:top w:w="100" w:type="dxa"/>
              <w:bottom w:w="100" w:type="dxa"/>
              <w:left w:w="140" w:type="dxa"/>
              <w:right w:w="140" w:type="dxa"/>
            </w:tcMar>
          </w:tcPr>
          <w:p>
            <w:pPr>
              <w:spacing w:before="40" w:after="40"/>
            </w:pPr>
            <w:r>
              <w:rPr>
                <w:rFonts w:ascii="Arial" w:hAnsi="Arial"/>
                <w:b/>
                <w:color w:val="FFFFFF"/>
                <w:sz w:val="19"/>
              </w:rPr>
              <w:t>Tiêu chí đánh giá UX / UI (Trọng số)</w:t>
            </w:r>
          </w:p>
        </w:tc>
        <w:tc>
          <w:tcPr>
            <w:tcW w:type="dxa" w:w="1560"/>
            <w:shd w:fill="0284C7"/>
            <w:tcMar>
              <w:top w:w="100" w:type="dxa"/>
              <w:bottom w:w="100" w:type="dxa"/>
              <w:left w:w="140" w:type="dxa"/>
              <w:right w:w="140" w:type="dxa"/>
            </w:tcMar>
          </w:tcPr>
          <w:p>
            <w:pPr>
              <w:spacing w:before="40" w:after="40"/>
            </w:pPr>
            <w:r>
              <w:rPr>
                <w:rFonts w:ascii="Arial" w:hAnsi="Arial"/>
                <w:b/>
                <w:color w:val="FFFFFF"/>
                <w:sz w:val="19"/>
              </w:rPr>
              <w:t>YouMed</w:t>
            </w:r>
          </w:p>
        </w:tc>
        <w:tc>
          <w:tcPr>
            <w:tcW w:type="dxa" w:w="1560"/>
            <w:shd w:fill="0284C7"/>
            <w:tcMar>
              <w:top w:w="100" w:type="dxa"/>
              <w:bottom w:w="100" w:type="dxa"/>
              <w:left w:w="140" w:type="dxa"/>
              <w:right w:w="140" w:type="dxa"/>
            </w:tcMar>
          </w:tcPr>
          <w:p>
            <w:pPr>
              <w:spacing w:before="40" w:after="40"/>
            </w:pPr>
            <w:r>
              <w:rPr>
                <w:rFonts w:ascii="Arial" w:hAnsi="Arial"/>
                <w:b/>
                <w:color w:val="FFFFFF"/>
                <w:sz w:val="19"/>
              </w:rPr>
              <w:t>Medpro</w:t>
            </w:r>
          </w:p>
        </w:tc>
        <w:tc>
          <w:tcPr>
            <w:tcW w:type="dxa" w:w="1560"/>
            <w:shd w:fill="0284C7"/>
            <w:tcMar>
              <w:top w:w="100" w:type="dxa"/>
              <w:bottom w:w="100" w:type="dxa"/>
              <w:left w:w="140" w:type="dxa"/>
              <w:right w:w="140" w:type="dxa"/>
            </w:tcMar>
          </w:tcPr>
          <w:p>
            <w:pPr>
              <w:spacing w:before="40" w:after="40"/>
            </w:pPr>
            <w:r>
              <w:rPr>
                <w:rFonts w:ascii="Arial" w:hAnsi="Arial"/>
                <w:b/>
                <w:color w:val="FFFFFF"/>
                <w:sz w:val="19"/>
              </w:rPr>
              <w:t>BookingCare</w:t>
            </w:r>
          </w:p>
        </w:tc>
        <w:tc>
          <w:tcPr>
            <w:tcW w:type="dxa" w:w="1560"/>
            <w:shd w:fill="0284C7"/>
            <w:tcMar>
              <w:top w:w="100" w:type="dxa"/>
              <w:bottom w:w="100" w:type="dxa"/>
              <w:left w:w="140" w:type="dxa"/>
              <w:right w:w="140" w:type="dxa"/>
            </w:tcMar>
          </w:tcPr>
          <w:p>
            <w:pPr>
              <w:spacing w:before="40" w:after="40"/>
            </w:pPr>
            <w:r>
              <w:rPr>
                <w:rFonts w:ascii="Arial" w:hAnsi="Arial"/>
                <w:b/>
                <w:color w:val="FFFFFF"/>
                <w:sz w:val="19"/>
              </w:rPr>
              <w:t>MedSi (Đề xuất)</w:t>
            </w:r>
          </w:p>
        </w:tc>
      </w:tr>
      <w:tr>
        <w:tc>
          <w:tcPr>
            <w:tcW w:type="dxa" w:w="1560"/>
            <w:shd w:fill="F8FAFC"/>
            <w:tcMar>
              <w:top w:w="100" w:type="dxa"/>
              <w:bottom w:w="100" w:type="dxa"/>
              <w:left w:w="140" w:type="dxa"/>
              <w:right w:w="140" w:type="dxa"/>
            </w:tcMar>
          </w:tcPr>
          <w:p>
            <w:pPr>
              <w:spacing w:before="40" w:after="40"/>
            </w:pPr>
            <w:r>
              <w:rPr>
                <w:rFonts w:ascii="Arial" w:hAnsi="Arial"/>
                <w:b w:val="0"/>
                <w:sz w:val="19"/>
              </w:rPr>
              <w:t>1</w:t>
            </w:r>
          </w:p>
        </w:tc>
        <w:tc>
          <w:tcPr>
            <w:tcW w:type="dxa" w:w="1560"/>
            <w:shd w:fill="F8FAFC"/>
            <w:tcMar>
              <w:top w:w="100" w:type="dxa"/>
              <w:bottom w:w="100" w:type="dxa"/>
              <w:left w:w="140" w:type="dxa"/>
              <w:right w:w="140" w:type="dxa"/>
            </w:tcMar>
          </w:tcPr>
          <w:p>
            <w:pPr>
              <w:spacing w:before="40" w:after="40"/>
            </w:pPr>
            <w:r>
              <w:rPr>
                <w:rFonts w:ascii="Arial" w:hAnsi="Arial"/>
                <w:b w:val="0"/>
                <w:sz w:val="19"/>
              </w:rPr>
              <w:t>Tìm kiếm, lọc &amp; Định vị Near-me (20%)</w:t>
            </w:r>
          </w:p>
        </w:tc>
        <w:tc>
          <w:tcPr>
            <w:tcW w:type="dxa" w:w="1560"/>
            <w:shd w:fill="F8FAFC"/>
            <w:tcMar>
              <w:top w:w="100" w:type="dxa"/>
              <w:bottom w:w="100" w:type="dxa"/>
              <w:left w:w="140" w:type="dxa"/>
              <w:right w:w="140" w:type="dxa"/>
            </w:tcMar>
          </w:tcPr>
          <w:p>
            <w:pPr>
              <w:spacing w:before="40" w:after="40"/>
            </w:pPr>
            <w:r>
              <w:rPr>
                <w:rFonts w:ascii="Arial" w:hAnsi="Arial"/>
                <w:b w:val="0"/>
                <w:sz w:val="19"/>
              </w:rPr>
              <w:t>8.5</w:t>
            </w:r>
          </w:p>
        </w:tc>
        <w:tc>
          <w:tcPr>
            <w:tcW w:type="dxa" w:w="1560"/>
            <w:shd w:fill="F8FAFC"/>
            <w:tcMar>
              <w:top w:w="100" w:type="dxa"/>
              <w:bottom w:w="100" w:type="dxa"/>
              <w:left w:w="140" w:type="dxa"/>
              <w:right w:w="140" w:type="dxa"/>
            </w:tcMar>
          </w:tcPr>
          <w:p>
            <w:pPr>
              <w:spacing w:before="40" w:after="40"/>
            </w:pPr>
            <w:r>
              <w:rPr>
                <w:rFonts w:ascii="Arial" w:hAnsi="Arial"/>
                <w:b w:val="0"/>
                <w:sz w:val="19"/>
              </w:rPr>
              <w:t>6.0</w:t>
            </w:r>
          </w:p>
        </w:tc>
        <w:tc>
          <w:tcPr>
            <w:tcW w:type="dxa" w:w="1560"/>
            <w:shd w:fill="F8FAFC"/>
            <w:tcMar>
              <w:top w:w="100" w:type="dxa"/>
              <w:bottom w:w="100" w:type="dxa"/>
              <w:left w:w="140" w:type="dxa"/>
              <w:right w:w="140" w:type="dxa"/>
            </w:tcMar>
          </w:tcPr>
          <w:p>
            <w:pPr>
              <w:spacing w:before="40" w:after="40"/>
            </w:pPr>
            <w:r>
              <w:rPr>
                <w:rFonts w:ascii="Arial" w:hAnsi="Arial"/>
                <w:b w:val="0"/>
                <w:sz w:val="19"/>
              </w:rPr>
              <w:t>7.5</w:t>
            </w:r>
          </w:p>
        </w:tc>
        <w:tc>
          <w:tcPr>
            <w:tcW w:type="dxa" w:w="1560"/>
            <w:shd w:fill="F8FAFC"/>
            <w:tcMar>
              <w:top w:w="100" w:type="dxa"/>
              <w:bottom w:w="100" w:type="dxa"/>
              <w:left w:w="140" w:type="dxa"/>
              <w:right w:w="140" w:type="dxa"/>
            </w:tcMar>
          </w:tcPr>
          <w:p>
            <w:pPr>
              <w:spacing w:before="40" w:after="40"/>
            </w:pPr>
            <w:r>
              <w:rPr>
                <w:rFonts w:ascii="Arial" w:hAnsi="Arial"/>
                <w:b w:val="0"/>
                <w:sz w:val="19"/>
              </w:rPr>
              <w:t>9.5</w:t>
            </w:r>
          </w:p>
        </w:tc>
      </w:tr>
      <w:tr>
        <w:tc>
          <w:tcPr>
            <w:tcW w:type="dxa" w:w="1560"/>
            <w:shd w:fill="F8FAFC"/>
            <w:tcMar>
              <w:top w:w="100" w:type="dxa"/>
              <w:bottom w:w="100" w:type="dxa"/>
              <w:left w:w="140" w:type="dxa"/>
              <w:right w:w="140" w:type="dxa"/>
            </w:tcMar>
          </w:tcPr>
          <w:p>
            <w:pPr>
              <w:spacing w:before="40" w:after="40"/>
            </w:pPr>
            <w:r>
              <w:rPr>
                <w:rFonts w:ascii="Arial" w:hAnsi="Arial"/>
                <w:b w:val="0"/>
                <w:sz w:val="19"/>
              </w:rPr>
              <w:t>2</w:t>
            </w:r>
          </w:p>
        </w:tc>
        <w:tc>
          <w:tcPr>
            <w:tcW w:type="dxa" w:w="1560"/>
            <w:shd w:fill="F8FAFC"/>
            <w:tcMar>
              <w:top w:w="100" w:type="dxa"/>
              <w:bottom w:w="100" w:type="dxa"/>
              <w:left w:w="140" w:type="dxa"/>
              <w:right w:w="140" w:type="dxa"/>
            </w:tcMar>
          </w:tcPr>
          <w:p>
            <w:pPr>
              <w:spacing w:before="40" w:after="40"/>
            </w:pPr>
            <w:r>
              <w:rPr>
                <w:rFonts w:ascii="Arial" w:hAnsi="Arial"/>
                <w:b w:val="0"/>
                <w:sz w:val="19"/>
              </w:rPr>
              <w:t>Trực quan hóa Khung giờ Slot (25%)</w:t>
            </w:r>
          </w:p>
        </w:tc>
        <w:tc>
          <w:tcPr>
            <w:tcW w:type="dxa" w:w="1560"/>
            <w:shd w:fill="F8FAFC"/>
            <w:tcMar>
              <w:top w:w="100" w:type="dxa"/>
              <w:bottom w:w="100" w:type="dxa"/>
              <w:left w:w="140" w:type="dxa"/>
              <w:right w:w="140" w:type="dxa"/>
            </w:tcMar>
          </w:tcPr>
          <w:p>
            <w:pPr>
              <w:spacing w:before="40" w:after="40"/>
            </w:pPr>
            <w:r>
              <w:rPr>
                <w:rFonts w:ascii="Arial" w:hAnsi="Arial"/>
                <w:b w:val="0"/>
                <w:sz w:val="19"/>
              </w:rPr>
              <w:t>8.0</w:t>
            </w:r>
          </w:p>
        </w:tc>
        <w:tc>
          <w:tcPr>
            <w:tcW w:type="dxa" w:w="1560"/>
            <w:shd w:fill="F8FAFC"/>
            <w:tcMar>
              <w:top w:w="100" w:type="dxa"/>
              <w:bottom w:w="100" w:type="dxa"/>
              <w:left w:w="140" w:type="dxa"/>
              <w:right w:w="140" w:type="dxa"/>
            </w:tcMar>
          </w:tcPr>
          <w:p>
            <w:pPr>
              <w:spacing w:before="40" w:after="40"/>
            </w:pPr>
            <w:r>
              <w:rPr>
                <w:rFonts w:ascii="Arial" w:hAnsi="Arial"/>
                <w:b w:val="0"/>
                <w:sz w:val="19"/>
              </w:rPr>
              <w:t>6.5</w:t>
            </w:r>
          </w:p>
        </w:tc>
        <w:tc>
          <w:tcPr>
            <w:tcW w:type="dxa" w:w="1560"/>
            <w:shd w:fill="F8FAFC"/>
            <w:tcMar>
              <w:top w:w="100" w:type="dxa"/>
              <w:bottom w:w="100" w:type="dxa"/>
              <w:left w:w="140" w:type="dxa"/>
              <w:right w:w="140" w:type="dxa"/>
            </w:tcMar>
          </w:tcPr>
          <w:p>
            <w:pPr>
              <w:spacing w:before="40" w:after="40"/>
            </w:pPr>
            <w:r>
              <w:rPr>
                <w:rFonts w:ascii="Arial" w:hAnsi="Arial"/>
                <w:b w:val="0"/>
                <w:sz w:val="19"/>
              </w:rPr>
              <w:t>7.0</w:t>
            </w:r>
          </w:p>
        </w:tc>
        <w:tc>
          <w:tcPr>
            <w:tcW w:type="dxa" w:w="1560"/>
            <w:shd w:fill="F8FAFC"/>
            <w:tcMar>
              <w:top w:w="100" w:type="dxa"/>
              <w:bottom w:w="100" w:type="dxa"/>
              <w:left w:w="140" w:type="dxa"/>
              <w:right w:w="140" w:type="dxa"/>
            </w:tcMar>
          </w:tcPr>
          <w:p>
            <w:pPr>
              <w:spacing w:before="40" w:after="40"/>
            </w:pPr>
            <w:r>
              <w:rPr>
                <w:rFonts w:ascii="Arial" w:hAnsi="Arial"/>
                <w:b w:val="0"/>
                <w:sz w:val="19"/>
              </w:rPr>
              <w:t>9.2</w:t>
            </w:r>
          </w:p>
        </w:tc>
      </w:tr>
      <w:tr>
        <w:tc>
          <w:tcPr>
            <w:tcW w:type="dxa" w:w="1560"/>
            <w:shd w:fill="F8FAFC"/>
            <w:tcMar>
              <w:top w:w="100" w:type="dxa"/>
              <w:bottom w:w="100" w:type="dxa"/>
              <w:left w:w="140" w:type="dxa"/>
              <w:right w:w="140" w:type="dxa"/>
            </w:tcMar>
          </w:tcPr>
          <w:p>
            <w:pPr>
              <w:spacing w:before="40" w:after="40"/>
            </w:pPr>
            <w:r>
              <w:rPr>
                <w:rFonts w:ascii="Arial" w:hAnsi="Arial"/>
                <w:b w:val="0"/>
                <w:sz w:val="19"/>
              </w:rPr>
              <w:t>3</w:t>
            </w:r>
          </w:p>
        </w:tc>
        <w:tc>
          <w:tcPr>
            <w:tcW w:type="dxa" w:w="1560"/>
            <w:shd w:fill="F8FAFC"/>
            <w:tcMar>
              <w:top w:w="100" w:type="dxa"/>
              <w:bottom w:w="100" w:type="dxa"/>
              <w:left w:w="140" w:type="dxa"/>
              <w:right w:w="140" w:type="dxa"/>
            </w:tcMar>
          </w:tcPr>
          <w:p>
            <w:pPr>
              <w:spacing w:before="40" w:after="40"/>
            </w:pPr>
            <w:r>
              <w:rPr>
                <w:rFonts w:ascii="Arial" w:hAnsi="Arial"/>
                <w:b w:val="0"/>
                <w:sz w:val="19"/>
              </w:rPr>
              <w:t>Tốc độ &amp; Phễu hoàn tất đặt chỗ (20%)</w:t>
            </w:r>
          </w:p>
        </w:tc>
        <w:tc>
          <w:tcPr>
            <w:tcW w:type="dxa" w:w="1560"/>
            <w:shd w:fill="F8FAFC"/>
            <w:tcMar>
              <w:top w:w="100" w:type="dxa"/>
              <w:bottom w:w="100" w:type="dxa"/>
              <w:left w:w="140" w:type="dxa"/>
              <w:right w:w="140" w:type="dxa"/>
            </w:tcMar>
          </w:tcPr>
          <w:p>
            <w:pPr>
              <w:spacing w:before="40" w:after="40"/>
            </w:pPr>
            <w:r>
              <w:rPr>
                <w:rFonts w:ascii="Arial" w:hAnsi="Arial"/>
                <w:b w:val="0"/>
                <w:sz w:val="19"/>
              </w:rPr>
              <w:t>7.8</w:t>
            </w:r>
          </w:p>
        </w:tc>
        <w:tc>
          <w:tcPr>
            <w:tcW w:type="dxa" w:w="1560"/>
            <w:shd w:fill="F8FAFC"/>
            <w:tcMar>
              <w:top w:w="100" w:type="dxa"/>
              <w:bottom w:w="100" w:type="dxa"/>
              <w:left w:w="140" w:type="dxa"/>
              <w:right w:w="140" w:type="dxa"/>
            </w:tcMar>
          </w:tcPr>
          <w:p>
            <w:pPr>
              <w:spacing w:before="40" w:after="40"/>
            </w:pPr>
            <w:r>
              <w:rPr>
                <w:rFonts w:ascii="Arial" w:hAnsi="Arial"/>
                <w:b w:val="0"/>
                <w:sz w:val="19"/>
              </w:rPr>
              <w:t>6.2</w:t>
            </w:r>
          </w:p>
        </w:tc>
        <w:tc>
          <w:tcPr>
            <w:tcW w:type="dxa" w:w="1560"/>
            <w:shd w:fill="F8FAFC"/>
            <w:tcMar>
              <w:top w:w="100" w:type="dxa"/>
              <w:bottom w:w="100" w:type="dxa"/>
              <w:left w:w="140" w:type="dxa"/>
              <w:right w:w="140" w:type="dxa"/>
            </w:tcMar>
          </w:tcPr>
          <w:p>
            <w:pPr>
              <w:spacing w:before="40" w:after="40"/>
            </w:pPr>
            <w:r>
              <w:rPr>
                <w:rFonts w:ascii="Arial" w:hAnsi="Arial"/>
                <w:b w:val="0"/>
                <w:sz w:val="19"/>
              </w:rPr>
              <w:t>7.2</w:t>
            </w:r>
          </w:p>
        </w:tc>
        <w:tc>
          <w:tcPr>
            <w:tcW w:type="dxa" w:w="1560"/>
            <w:shd w:fill="F8FAFC"/>
            <w:tcMar>
              <w:top w:w="100" w:type="dxa"/>
              <w:bottom w:w="100" w:type="dxa"/>
              <w:left w:w="140" w:type="dxa"/>
              <w:right w:w="140" w:type="dxa"/>
            </w:tcMar>
          </w:tcPr>
          <w:p>
            <w:pPr>
              <w:spacing w:before="40" w:after="40"/>
            </w:pPr>
            <w:r>
              <w:rPr>
                <w:rFonts w:ascii="Arial" w:hAnsi="Arial"/>
                <w:b w:val="0"/>
                <w:sz w:val="19"/>
              </w:rPr>
              <w:t>9.0</w:t>
            </w:r>
          </w:p>
        </w:tc>
      </w:tr>
      <w:tr>
        <w:tc>
          <w:tcPr>
            <w:tcW w:type="dxa" w:w="1560"/>
            <w:shd w:fill="F8FAFC"/>
            <w:tcMar>
              <w:top w:w="100" w:type="dxa"/>
              <w:bottom w:w="100" w:type="dxa"/>
              <w:left w:w="140" w:type="dxa"/>
              <w:right w:w="140" w:type="dxa"/>
            </w:tcMar>
          </w:tcPr>
          <w:p>
            <w:pPr>
              <w:spacing w:before="40" w:after="40"/>
            </w:pPr>
            <w:r>
              <w:rPr>
                <w:rFonts w:ascii="Arial" w:hAnsi="Arial"/>
                <w:b w:val="0"/>
                <w:sz w:val="19"/>
              </w:rPr>
              <w:t>4</w:t>
            </w:r>
          </w:p>
        </w:tc>
        <w:tc>
          <w:tcPr>
            <w:tcW w:type="dxa" w:w="1560"/>
            <w:shd w:fill="F8FAFC"/>
            <w:tcMar>
              <w:top w:w="100" w:type="dxa"/>
              <w:bottom w:w="100" w:type="dxa"/>
              <w:left w:w="140" w:type="dxa"/>
              <w:right w:w="140" w:type="dxa"/>
            </w:tcMar>
          </w:tcPr>
          <w:p>
            <w:pPr>
              <w:spacing w:before="40" w:after="40"/>
            </w:pPr>
            <w:r>
              <w:rPr>
                <w:rFonts w:ascii="Arial" w:hAnsi="Arial"/>
                <w:b w:val="0"/>
                <w:sz w:val="19"/>
              </w:rPr>
              <w:t>Thẩm mỹ, Bảng màu &amp; Typography (20%)</w:t>
            </w:r>
          </w:p>
        </w:tc>
        <w:tc>
          <w:tcPr>
            <w:tcW w:type="dxa" w:w="1560"/>
            <w:shd w:fill="F8FAFC"/>
            <w:tcMar>
              <w:top w:w="100" w:type="dxa"/>
              <w:bottom w:w="100" w:type="dxa"/>
              <w:left w:w="140" w:type="dxa"/>
              <w:right w:w="140" w:type="dxa"/>
            </w:tcMar>
          </w:tcPr>
          <w:p>
            <w:pPr>
              <w:spacing w:before="40" w:after="40"/>
            </w:pPr>
            <w:r>
              <w:rPr>
                <w:rFonts w:ascii="Arial" w:hAnsi="Arial"/>
                <w:b w:val="0"/>
                <w:sz w:val="19"/>
              </w:rPr>
              <w:t>8.8</w:t>
            </w:r>
          </w:p>
        </w:tc>
        <w:tc>
          <w:tcPr>
            <w:tcW w:type="dxa" w:w="1560"/>
            <w:shd w:fill="F8FAFC"/>
            <w:tcMar>
              <w:top w:w="100" w:type="dxa"/>
              <w:bottom w:w="100" w:type="dxa"/>
              <w:left w:w="140" w:type="dxa"/>
              <w:right w:w="140" w:type="dxa"/>
            </w:tcMar>
          </w:tcPr>
          <w:p>
            <w:pPr>
              <w:spacing w:before="40" w:after="40"/>
            </w:pPr>
            <w:r>
              <w:rPr>
                <w:rFonts w:ascii="Arial" w:hAnsi="Arial"/>
                <w:b w:val="0"/>
                <w:sz w:val="19"/>
              </w:rPr>
              <w:t>7.2</w:t>
            </w:r>
          </w:p>
        </w:tc>
        <w:tc>
          <w:tcPr>
            <w:tcW w:type="dxa" w:w="1560"/>
            <w:shd w:fill="F8FAFC"/>
            <w:tcMar>
              <w:top w:w="100" w:type="dxa"/>
              <w:bottom w:w="100" w:type="dxa"/>
              <w:left w:w="140" w:type="dxa"/>
              <w:right w:w="140" w:type="dxa"/>
            </w:tcMar>
          </w:tcPr>
          <w:p>
            <w:pPr>
              <w:spacing w:before="40" w:after="40"/>
            </w:pPr>
            <w:r>
              <w:rPr>
                <w:rFonts w:ascii="Arial" w:hAnsi="Arial"/>
                <w:b w:val="0"/>
                <w:sz w:val="19"/>
              </w:rPr>
              <w:t>7.4</w:t>
            </w:r>
          </w:p>
        </w:tc>
        <w:tc>
          <w:tcPr>
            <w:tcW w:type="dxa" w:w="1560"/>
            <w:shd w:fill="F8FAFC"/>
            <w:tcMar>
              <w:top w:w="100" w:type="dxa"/>
              <w:bottom w:w="100" w:type="dxa"/>
              <w:left w:w="140" w:type="dxa"/>
              <w:right w:w="140" w:type="dxa"/>
            </w:tcMar>
          </w:tcPr>
          <w:p>
            <w:pPr>
              <w:spacing w:before="40" w:after="40"/>
            </w:pPr>
            <w:r>
              <w:rPr>
                <w:rFonts w:ascii="Arial" w:hAnsi="Arial"/>
                <w:b w:val="0"/>
                <w:sz w:val="19"/>
              </w:rPr>
              <w:t>9.0</w:t>
            </w:r>
          </w:p>
        </w:tc>
      </w:tr>
      <w:tr>
        <w:tc>
          <w:tcPr>
            <w:tcW w:type="dxa" w:w="1560"/>
            <w:shd w:fill="F8FAFC"/>
            <w:tcMar>
              <w:top w:w="100" w:type="dxa"/>
              <w:bottom w:w="100" w:type="dxa"/>
              <w:left w:w="140" w:type="dxa"/>
              <w:right w:w="140" w:type="dxa"/>
            </w:tcMar>
          </w:tcPr>
          <w:p>
            <w:pPr>
              <w:spacing w:before="40" w:after="40"/>
            </w:pPr>
            <w:r>
              <w:rPr>
                <w:rFonts w:ascii="Arial" w:hAnsi="Arial"/>
                <w:b w:val="0"/>
                <w:sz w:val="19"/>
              </w:rPr>
              <w:t>5</w:t>
            </w:r>
          </w:p>
        </w:tc>
        <w:tc>
          <w:tcPr>
            <w:tcW w:type="dxa" w:w="1560"/>
            <w:shd w:fill="F8FAFC"/>
            <w:tcMar>
              <w:top w:w="100" w:type="dxa"/>
              <w:bottom w:w="100" w:type="dxa"/>
              <w:left w:w="140" w:type="dxa"/>
              <w:right w:w="140" w:type="dxa"/>
            </w:tcMar>
          </w:tcPr>
          <w:p>
            <w:pPr>
              <w:spacing w:before="40" w:after="40"/>
            </w:pPr>
            <w:r>
              <w:rPr>
                <w:rFonts w:ascii="Arial" w:hAnsi="Arial"/>
                <w:b w:val="0"/>
                <w:sz w:val="19"/>
              </w:rPr>
              <w:t>Tối ưu Mobile Responsive (15%)</w:t>
            </w:r>
          </w:p>
        </w:tc>
        <w:tc>
          <w:tcPr>
            <w:tcW w:type="dxa" w:w="1560"/>
            <w:shd w:fill="F8FAFC"/>
            <w:tcMar>
              <w:top w:w="100" w:type="dxa"/>
              <w:bottom w:w="100" w:type="dxa"/>
              <w:left w:w="140" w:type="dxa"/>
              <w:right w:w="140" w:type="dxa"/>
            </w:tcMar>
          </w:tcPr>
          <w:p>
            <w:pPr>
              <w:spacing w:before="40" w:after="40"/>
            </w:pPr>
            <w:r>
              <w:rPr>
                <w:rFonts w:ascii="Arial" w:hAnsi="Arial"/>
                <w:b w:val="0"/>
                <w:sz w:val="19"/>
              </w:rPr>
              <w:t>8.2</w:t>
            </w:r>
          </w:p>
        </w:tc>
        <w:tc>
          <w:tcPr>
            <w:tcW w:type="dxa" w:w="1560"/>
            <w:shd w:fill="F8FAFC"/>
            <w:tcMar>
              <w:top w:w="100" w:type="dxa"/>
              <w:bottom w:w="100" w:type="dxa"/>
              <w:left w:w="140" w:type="dxa"/>
              <w:right w:w="140" w:type="dxa"/>
            </w:tcMar>
          </w:tcPr>
          <w:p>
            <w:pPr>
              <w:spacing w:before="40" w:after="40"/>
            </w:pPr>
            <w:r>
              <w:rPr>
                <w:rFonts w:ascii="Arial" w:hAnsi="Arial"/>
                <w:b w:val="0"/>
                <w:sz w:val="19"/>
              </w:rPr>
              <w:t>7.5</w:t>
            </w:r>
          </w:p>
        </w:tc>
        <w:tc>
          <w:tcPr>
            <w:tcW w:type="dxa" w:w="1560"/>
            <w:shd w:fill="F8FAFC"/>
            <w:tcMar>
              <w:top w:w="100" w:type="dxa"/>
              <w:bottom w:w="100" w:type="dxa"/>
              <w:left w:w="140" w:type="dxa"/>
              <w:right w:w="140" w:type="dxa"/>
            </w:tcMar>
          </w:tcPr>
          <w:p>
            <w:pPr>
              <w:spacing w:before="40" w:after="40"/>
            </w:pPr>
            <w:r>
              <w:rPr>
                <w:rFonts w:ascii="Arial" w:hAnsi="Arial"/>
                <w:b w:val="0"/>
                <w:sz w:val="19"/>
              </w:rPr>
              <w:t>7.6</w:t>
            </w:r>
          </w:p>
        </w:tc>
        <w:tc>
          <w:tcPr>
            <w:tcW w:type="dxa" w:w="1560"/>
            <w:shd w:fill="F8FAFC"/>
            <w:tcMar>
              <w:top w:w="100" w:type="dxa"/>
              <w:bottom w:w="100" w:type="dxa"/>
              <w:left w:w="140" w:type="dxa"/>
              <w:right w:w="140" w:type="dxa"/>
            </w:tcMar>
          </w:tcPr>
          <w:p>
            <w:pPr>
              <w:spacing w:before="40" w:after="40"/>
            </w:pPr>
            <w:r>
              <w:rPr>
                <w:rFonts w:ascii="Arial" w:hAnsi="Arial"/>
                <w:b w:val="0"/>
                <w:sz w:val="19"/>
              </w:rPr>
              <w:t>8.8</w:t>
            </w:r>
          </w:p>
        </w:tc>
      </w:tr>
      <w:tr>
        <w:tc>
          <w:tcPr>
            <w:tcW w:type="dxa" w:w="1560"/>
            <w:shd w:fill="E0F2FE"/>
            <w:tcMar>
              <w:top w:w="100" w:type="dxa"/>
              <w:bottom w:w="100" w:type="dxa"/>
              <w:left w:w="140" w:type="dxa"/>
              <w:right w:w="140" w:type="dxa"/>
            </w:tcMar>
          </w:tcPr>
          <w:p>
            <w:pPr>
              <w:spacing w:before="40" w:after="40"/>
            </w:pPr>
            <w:r>
              <w:rPr>
                <w:rFonts w:ascii="Arial" w:hAnsi="Arial"/>
                <w:b/>
                <w:sz w:val="19"/>
              </w:rPr>
              <w:t>Tổng</w:t>
            </w:r>
          </w:p>
        </w:tc>
        <w:tc>
          <w:tcPr>
            <w:tcW w:type="dxa" w:w="1560"/>
            <w:shd w:fill="E0F2FE"/>
            <w:tcMar>
              <w:top w:w="100" w:type="dxa"/>
              <w:bottom w:w="100" w:type="dxa"/>
              <w:left w:w="140" w:type="dxa"/>
              <w:right w:w="140" w:type="dxa"/>
            </w:tcMar>
          </w:tcPr>
          <w:p>
            <w:pPr>
              <w:spacing w:before="40" w:after="40"/>
            </w:pPr>
            <w:r>
              <w:rPr>
                <w:rFonts w:ascii="Arial" w:hAnsi="Arial"/>
                <w:b/>
                <w:sz w:val="19"/>
              </w:rPr>
              <w:t>ĐIỂM TRUNG BÌNH CHUNG (Thang điểm 10)</w:t>
            </w:r>
          </w:p>
        </w:tc>
        <w:tc>
          <w:tcPr>
            <w:tcW w:type="dxa" w:w="1560"/>
            <w:shd w:fill="E0F2FE"/>
            <w:tcMar>
              <w:top w:w="100" w:type="dxa"/>
              <w:bottom w:w="100" w:type="dxa"/>
              <w:left w:w="140" w:type="dxa"/>
              <w:right w:w="140" w:type="dxa"/>
            </w:tcMar>
          </w:tcPr>
          <w:p>
            <w:pPr>
              <w:spacing w:before="40" w:after="40"/>
            </w:pPr>
            <w:r>
              <w:rPr>
                <w:rFonts w:ascii="Arial" w:hAnsi="Arial"/>
                <w:b/>
                <w:sz w:val="19"/>
              </w:rPr>
              <w:t>8.24</w:t>
            </w:r>
          </w:p>
        </w:tc>
        <w:tc>
          <w:tcPr>
            <w:tcW w:type="dxa" w:w="1560"/>
            <w:shd w:fill="E0F2FE"/>
            <w:tcMar>
              <w:top w:w="100" w:type="dxa"/>
              <w:bottom w:w="100" w:type="dxa"/>
              <w:left w:w="140" w:type="dxa"/>
              <w:right w:w="140" w:type="dxa"/>
            </w:tcMar>
          </w:tcPr>
          <w:p>
            <w:pPr>
              <w:spacing w:before="40" w:after="40"/>
            </w:pPr>
            <w:r>
              <w:rPr>
                <w:rFonts w:ascii="Arial" w:hAnsi="Arial"/>
                <w:b/>
                <w:sz w:val="19"/>
              </w:rPr>
              <w:t>6.66</w:t>
            </w:r>
          </w:p>
        </w:tc>
        <w:tc>
          <w:tcPr>
            <w:tcW w:type="dxa" w:w="1560"/>
            <w:shd w:fill="E0F2FE"/>
            <w:tcMar>
              <w:top w:w="100" w:type="dxa"/>
              <w:bottom w:w="100" w:type="dxa"/>
              <w:left w:w="140" w:type="dxa"/>
              <w:right w:w="140" w:type="dxa"/>
            </w:tcMar>
          </w:tcPr>
          <w:p>
            <w:pPr>
              <w:spacing w:before="40" w:after="40"/>
            </w:pPr>
            <w:r>
              <w:rPr>
                <w:rFonts w:ascii="Arial" w:hAnsi="Arial"/>
                <w:b/>
                <w:sz w:val="19"/>
              </w:rPr>
              <w:t>7.32</w:t>
            </w:r>
          </w:p>
        </w:tc>
        <w:tc>
          <w:tcPr>
            <w:tcW w:type="dxa" w:w="1560"/>
            <w:shd w:fill="E0F2FE"/>
            <w:tcMar>
              <w:top w:w="100" w:type="dxa"/>
              <w:bottom w:w="100" w:type="dxa"/>
              <w:left w:w="140" w:type="dxa"/>
              <w:right w:w="140" w:type="dxa"/>
            </w:tcMar>
          </w:tcPr>
          <w:p>
            <w:pPr>
              <w:spacing w:before="40" w:after="40"/>
            </w:pPr>
            <w:r>
              <w:rPr>
                <w:rFonts w:ascii="Arial" w:hAnsi="Arial"/>
                <w:b/>
                <w:sz w:val="19"/>
              </w:rPr>
              <w:t>9.12</w:t>
            </w:r>
          </w:p>
        </w:tc>
      </w:tr>
    </w:tbl>
    <w:p>
      <w:pPr>
        <w:pStyle w:val="Heading1"/>
      </w:pPr>
      <w:r>
        <w:t>2. Phân Tích Chuyên Sâu Từng Nền Tảng</w:t>
      </w:r>
    </w:p>
    <w:p>
      <w:pPr>
        <w:pStyle w:val="Heading2"/>
      </w:pPr>
      <w:r>
        <w:t>2.1 YouMed (Điểm Benchmark: 8.24 / 10) — Chuẩn mực thẩm mỹ y tế</w:t>
      </w:r>
    </w:p>
    <w:p>
      <w:r>
        <w:t>• Điểm mạnh: Giao diện cực kỳ hiện đại, sử dụng bảng màu Sky Blue (#0088cc) tạo cảm giác an tâm. Danh mục chuyên khoa có biểu tượng minh họa rõ ràng. Thông tin bác sĩ rất đầy đủ.</w:t>
        <w:br/>
        <w:t>• Điểm yếu: Quy trình đặt khám qua 5 bước xác nhận rườm rà. Chưa có tính năng Near-me định vị khoảng cách km bằng GPS thời gian thực (chỉ cho phép chọn Tỉnh/Quận tĩnh). Không có đồng hồ đếm ngược giữ chỗ tự động giải phóng slot.</w:t>
      </w:r>
    </w:p>
    <w:p>
      <w:pPr>
        <w:pStyle w:val="Heading2"/>
      </w:pPr>
      <w:r>
        <w:t>2.2 Medpro (Điểm Benchmark: 6.66 / 10) — Nhiều cơ sở nhưng ma sát cao</w:t>
      </w:r>
    </w:p>
    <w:p>
      <w:r>
        <w:t>• Điểm mạnh: Kết nối với nhiều bệnh viện công lập lớn tại TP.HCM (Chợ Rẫy, Đại học Y Dược).</w:t>
        <w:br/>
        <w:t>• Điểm yếu: Trải nghiệm người dùng (UX) bị quá tải thông tin. Biểu mẫu đăng ký yêu cầu nhập quá nhiều thông tin BHYT và CMND/CCCD ngay từ bước đầu. Giao diện Web di động bị chật chội, khó thao tác.</w:t>
      </w:r>
    </w:p>
    <w:p>
      <w:pPr>
        <w:pStyle w:val="Heading2"/>
      </w:pPr>
      <w:r>
        <w:t>2.3 BookingCare (Điểm Benchmark: 7.32 / 10) — Mạnh về nội dung, yếu về thanh toán tức thời</w:t>
      </w:r>
    </w:p>
    <w:p>
      <w:r>
        <w:t>• Điểm mạnh: Nội dung cẩm nang bệnh học chi tiết, danh sách bác sĩ chia theo chuyên khoa sâu.</w:t>
        <w:br/>
        <w:t>• Điểm yếu: Giao diện chứa quá nhiều văn bản (Content-heavy) làm phân tán sự chú ý khi đặt khám. Không có cơ chế khóa giữ chỗ đếm ngược thời gian thực, chủ yếu là hình thức ghi nhận yêu cầu và chờ bệnh viện xác nhận lại sau.</w:t>
      </w:r>
    </w:p>
    <w:p>
      <w:pPr>
        <w:pStyle w:val="Heading2"/>
      </w:pPr>
      <w:r>
        <w:t>2.4 MedSi Đề Xuất (Điểm Benchmark: 9.12 / 10) — Dẫn đầu về tốc độ và trải nghiệm</w:t>
      </w:r>
    </w:p>
    <w:p>
      <w:r>
        <w:t>MedSi giải quyết triệt để các hạn chế của các đối thủ đi trước nhờ 3 lợi thế cạnh tranh then chốt được hiện thực hóa trực tiếp trên Frontend:</w:t>
        <w:br/>
        <w:t>1. Phễu 3 bước tinh gọn: Chọn bác sĩ &amp; slot ➔ Chọn hồ sơ bệnh nhân ➔ Quét VietQR nhận phiếu khám.</w:t>
        <w:br/>
        <w:t>2. Công nghệ Near-me 1 chạm: Định vị GPS tức thì kết hợp thuật toán Haversine tính chính xác khoảng cách km, kèm Fallback chọn quận/huyện mượt mà.</w:t>
        <w:br/>
        <w:t>3. Cơ chế Khóa slot 10:00 phút &amp; VietQR động: Chống đặt trùng lịch tuyệt đối (Race Condition), tích hợp đồng hồ đếm ngược và tự động sinh mã VietQR theo chuẩn Napas 247.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