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4202C" w14:textId="77777777" w:rsidR="0079012B" w:rsidRDefault="0079012B">
      <w:pPr>
        <w:spacing w:before="1800"/>
      </w:pPr>
    </w:p>
    <w:p w14:paraId="33032ED2" w14:textId="77777777" w:rsidR="0079012B" w:rsidRDefault="00000000">
      <w:pPr>
        <w:jc w:val="center"/>
      </w:pPr>
      <w:r>
        <w:rPr>
          <w:b/>
          <w:bCs/>
          <w:color w:val="1B2338"/>
          <w:sz w:val="44"/>
          <w:szCs w:val="44"/>
        </w:rPr>
        <w:t>RETAIL SALES &amp; PROFITABILITY ANALYSIS</w:t>
      </w:r>
    </w:p>
    <w:p w14:paraId="1C280B47" w14:textId="77777777" w:rsidR="0079012B" w:rsidRDefault="00000000">
      <w:pPr>
        <w:spacing w:before="200" w:after="100"/>
        <w:jc w:val="center"/>
      </w:pPr>
      <w:r>
        <w:rPr>
          <w:color w:val="2E6FD9"/>
          <w:sz w:val="28"/>
          <w:szCs w:val="28"/>
        </w:rPr>
        <w:t>Relatório de Insights de Vendas e Rentabilidade</w:t>
      </w:r>
    </w:p>
    <w:p w14:paraId="4745663A" w14:textId="77777777" w:rsidR="0079012B" w:rsidRDefault="00000000">
      <w:pPr>
        <w:pBdr>
          <w:bottom w:val="single" w:sz="12" w:space="10" w:color="2E6FD9"/>
        </w:pBdr>
        <w:spacing w:before="60"/>
        <w:jc w:val="center"/>
      </w:pPr>
      <w:r>
        <w:rPr>
          <w:sz w:val="10"/>
          <w:szCs w:val="10"/>
        </w:rPr>
        <w:t xml:space="preserve"> </w:t>
      </w:r>
    </w:p>
    <w:p w14:paraId="4C6FAB31" w14:textId="77777777" w:rsidR="0079012B" w:rsidRDefault="00000000"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>Análise desenvolvida em SQL e Power BI</w:t>
      </w:r>
    </w:p>
    <w:p w14:paraId="730754C2" w14:textId="77777777" w:rsidR="0079012B" w:rsidRDefault="00000000">
      <w:pPr>
        <w:spacing w:before="60"/>
        <w:jc w:val="center"/>
      </w:pPr>
      <w:r>
        <w:rPr>
          <w:i/>
          <w:iCs/>
          <w:color w:val="595959"/>
          <w:sz w:val="22"/>
          <w:szCs w:val="22"/>
        </w:rPr>
        <w:t xml:space="preserve">Projeto </w:t>
      </w:r>
      <w:r w:rsidRPr="00D90E5D">
        <w:rPr>
          <w:i/>
          <w:iCs/>
          <w:color w:val="595959"/>
          <w:sz w:val="22"/>
          <w:szCs w:val="22"/>
          <w:u w:val="single"/>
        </w:rPr>
        <w:t>de</w:t>
      </w:r>
      <w:r>
        <w:rPr>
          <w:i/>
          <w:iCs/>
          <w:color w:val="595959"/>
          <w:sz w:val="22"/>
          <w:szCs w:val="22"/>
        </w:rPr>
        <w:t xml:space="preserve"> portfólio — Análise de Dados</w:t>
      </w:r>
    </w:p>
    <w:p w14:paraId="7B4B8E22" w14:textId="77777777" w:rsidR="0079012B" w:rsidRDefault="00000000">
      <w:r>
        <w:br w:type="page"/>
      </w:r>
    </w:p>
    <w:p w14:paraId="1C98B1B4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lastRenderedPageBreak/>
        <w:t>1. Introdução e Objetivo</w:t>
      </w:r>
    </w:p>
    <w:p w14:paraId="28E609E7" w14:textId="0E47E3A7" w:rsidR="0079012B" w:rsidRDefault="00000000">
      <w:pPr>
        <w:spacing w:after="160" w:line="276" w:lineRule="auto"/>
      </w:pPr>
      <w:r>
        <w:rPr>
          <w:color w:val="262626"/>
        </w:rPr>
        <w:t>Este relatório apresenta os principais insights extraídos da análise do conjunto de dados de vendas de um varejista, combinando consultas SQL e um dashboard interativo desenvolvido no Power BI. O objetivo do projeto é demonstrar, de ponta a ponta, a capacidade de explorar dados brutos, construir indicadores de negócio e traduzir os resultados em recomendações acionáveis</w:t>
      </w:r>
      <w:r w:rsidR="000F66FE">
        <w:rPr>
          <w:color w:val="262626"/>
        </w:rPr>
        <w:t xml:space="preserve">, </w:t>
      </w:r>
      <w:r>
        <w:rPr>
          <w:color w:val="262626"/>
        </w:rPr>
        <w:t>habilidades centrais para uma posição de estágio em dados.</w:t>
      </w:r>
    </w:p>
    <w:p w14:paraId="1C16AFA6" w14:textId="77777777" w:rsidR="0079012B" w:rsidRDefault="00000000">
      <w:pPr>
        <w:spacing w:after="160" w:line="276" w:lineRule="auto"/>
      </w:pPr>
      <w:r>
        <w:rPr>
          <w:color w:val="262626"/>
        </w:rPr>
        <w:t>O dashboard é composto por três páginas: (1) Visão Geral de Vendas e Rentabilidade, (2) Produtos e Subcategorias e (3) Clientes e Pedidos. Os indicadores centrais do período analisado são:</w:t>
      </w:r>
    </w:p>
    <w:tbl>
      <w:tblPr>
        <w:tblW w:w="5000" w:type="pct"/>
        <w:tblBorders>
          <w:top w:val="single" w:sz="4" w:space="0" w:color="2E6FD9"/>
          <w:left w:val="single" w:sz="24" w:space="0" w:color="2E6FD9"/>
          <w:bottom w:val="single" w:sz="4" w:space="0" w:color="2E6FD9"/>
          <w:right w:val="single" w:sz="4" w:space="0" w:color="2E6F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9012B" w14:paraId="10D1A7E9" w14:textId="77777777"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5D26C8" w14:textId="77777777" w:rsidR="0079012B" w:rsidRDefault="00000000">
            <w:pPr>
              <w:spacing w:after="60"/>
            </w:pPr>
            <w:r>
              <w:rPr>
                <w:b/>
                <w:bCs/>
                <w:color w:val="2E6FD9"/>
              </w:rPr>
              <w:t>Indicadores-chave do período</w:t>
            </w:r>
          </w:p>
          <w:p w14:paraId="69A59853" w14:textId="77777777" w:rsidR="0079012B" w:rsidRDefault="00000000">
            <w:r>
              <w:rPr>
                <w:color w:val="262626"/>
                <w:sz w:val="20"/>
                <w:szCs w:val="20"/>
              </w:rPr>
              <w:t>Margem de Lucro: 12,47%   |   Lucro Total: 286,40 Mil   |   Faturamento Total: 2,30 Mi   |   Total de Pedidos: 5.009</w:t>
            </w:r>
          </w:p>
        </w:tc>
      </w:tr>
    </w:tbl>
    <w:p w14:paraId="56233D81" w14:textId="77777777" w:rsidR="0079012B" w:rsidRDefault="0079012B">
      <w:pPr>
        <w:spacing w:after="160"/>
      </w:pPr>
    </w:p>
    <w:p w14:paraId="20FB6FFB" w14:textId="77777777" w:rsidR="0079012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DC6AE9F" wp14:editId="5A25DCA2">
            <wp:extent cx="5905500" cy="3419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C29" w14:textId="77777777" w:rsidR="0079012B" w:rsidRDefault="00000000">
      <w:pPr>
        <w:spacing w:before="60" w:after="260"/>
        <w:jc w:val="center"/>
      </w:pPr>
      <w:r>
        <w:rPr>
          <w:i/>
          <w:iCs/>
          <w:color w:val="595959"/>
          <w:sz w:val="18"/>
          <w:szCs w:val="18"/>
        </w:rPr>
        <w:t>Página 1 do dashboard — Visão geral de vendas e rentabilidade (Power BI).</w:t>
      </w:r>
    </w:p>
    <w:p w14:paraId="4F5651C7" w14:textId="77777777" w:rsidR="0079012B" w:rsidRDefault="00000000">
      <w:r>
        <w:br w:type="page"/>
      </w:r>
    </w:p>
    <w:p w14:paraId="3D8C13D0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lastRenderedPageBreak/>
        <w:t>2. Lucro por Produto</w:t>
      </w:r>
    </w:p>
    <w:p w14:paraId="41E0E835" w14:textId="77777777" w:rsidR="0079012B" w:rsidRDefault="00000000">
      <w:pPr>
        <w:pStyle w:val="Ttulo2"/>
        <w:spacing w:before="280" w:after="120"/>
      </w:pPr>
      <w:r>
        <w:rPr>
          <w:b/>
          <w:bCs/>
          <w:color w:val="2E6FD9"/>
          <w:sz w:val="24"/>
          <w:szCs w:val="24"/>
        </w:rPr>
        <w:t>2.1 Produtos mais lucrativos</w:t>
      </w:r>
    </w:p>
    <w:p w14:paraId="6C390454" w14:textId="132486A6" w:rsidR="0079012B" w:rsidRDefault="00000000">
      <w:pPr>
        <w:spacing w:after="160" w:line="276" w:lineRule="auto"/>
      </w:pPr>
      <w:r>
        <w:rPr>
          <w:color w:val="262626"/>
        </w:rPr>
        <w:t>Em termos de lucro absoluto, o produto Canon imageCLASS 2200 Advanced Copier é disparado o mais rentável do catálogo, com R$ 25.199,94 em lucro</w:t>
      </w:r>
      <w:r w:rsidR="000F66FE">
        <w:rPr>
          <w:color w:val="262626"/>
        </w:rPr>
        <w:t>,</w:t>
      </w:r>
      <w:r>
        <w:rPr>
          <w:color w:val="262626"/>
        </w:rPr>
        <w:t xml:space="preserve"> mais de três vezes o valor do segundo colocado, o Fellowes PB500 Electric Punch Plastic Comb Binding Machine with Manual Bind, com R$ 7.753,06.</w:t>
      </w:r>
    </w:p>
    <w:p w14:paraId="62680ADE" w14:textId="77777777" w:rsidR="0079012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8E08A4" wp14:editId="58EE7AF4">
            <wp:extent cx="4191000" cy="2647950"/>
            <wp:effectExtent l="0" t="0" r="0" b="0"/>
            <wp:docPr id="434546736" name="Imagem 434546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C655" w14:textId="77777777" w:rsidR="0079012B" w:rsidRDefault="00000000">
      <w:pPr>
        <w:spacing w:before="60" w:after="260"/>
        <w:jc w:val="center"/>
      </w:pPr>
      <w:r>
        <w:rPr>
          <w:i/>
          <w:iCs/>
          <w:color w:val="595959"/>
          <w:sz w:val="18"/>
          <w:szCs w:val="18"/>
        </w:rPr>
        <w:t>Top 10 produtos por faturamento.</w:t>
      </w:r>
    </w:p>
    <w:p w14:paraId="5D4682FE" w14:textId="77777777" w:rsidR="0079012B" w:rsidRDefault="00000000">
      <w:pPr>
        <w:pStyle w:val="Ttulo2"/>
        <w:spacing w:before="280" w:after="120"/>
      </w:pPr>
      <w:r>
        <w:rPr>
          <w:b/>
          <w:bCs/>
          <w:color w:val="2E6FD9"/>
          <w:sz w:val="24"/>
          <w:szCs w:val="24"/>
        </w:rPr>
        <w:t>2.2 Quantidade vendida não é sinônimo de lucro</w:t>
      </w:r>
    </w:p>
    <w:p w14:paraId="751C3B7D" w14:textId="3CCAF513" w:rsidR="0079012B" w:rsidRDefault="00000000">
      <w:pPr>
        <w:spacing w:after="160" w:line="276" w:lineRule="auto"/>
      </w:pPr>
      <w:r>
        <w:rPr>
          <w:color w:val="262626"/>
        </w:rPr>
        <w:t>A análise mostra que volume de vendas e lucratividade são métricas independentes. O produto GBC Premium Transparent Covers with Diagonal Lined Pattern é o mais vendido em unidades (67), mas gerou apenas R$ 49,51 de lucro. Em um caso ainda mais crítico, o Chromcraft Round Conference Tables é o terceiro produto mais vendido em quantidade, porém apresenta lucro negativo</w:t>
      </w:r>
      <w:r w:rsidR="000F66FE">
        <w:rPr>
          <w:color w:val="262626"/>
        </w:rPr>
        <w:t xml:space="preserve">, </w:t>
      </w:r>
      <w:r>
        <w:rPr>
          <w:color w:val="262626"/>
        </w:rPr>
        <w:t>padrão que se repete em outros itens do catálogo.</w:t>
      </w:r>
    </w:p>
    <w:tbl>
      <w:tblPr>
        <w:tblW w:w="5000" w:type="pct"/>
        <w:tblBorders>
          <w:top w:val="single" w:sz="4" w:space="0" w:color="B3261E"/>
          <w:left w:val="single" w:sz="24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9012B" w14:paraId="40DF172C" w14:textId="77777777"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72315DB" w14:textId="77777777" w:rsidR="0079012B" w:rsidRDefault="00000000">
            <w:pPr>
              <w:spacing w:after="60"/>
            </w:pPr>
            <w:r>
              <w:rPr>
                <w:b/>
                <w:bCs/>
                <w:color w:val="B3261E"/>
              </w:rPr>
              <w:t>Ponto de atenção para o negócio</w:t>
            </w:r>
          </w:p>
          <w:p w14:paraId="780A5EAD" w14:textId="77777777" w:rsidR="0079012B" w:rsidRDefault="00000000">
            <w:r>
              <w:rPr>
                <w:color w:val="262626"/>
                <w:sz w:val="20"/>
                <w:szCs w:val="20"/>
              </w:rPr>
              <w:t>Priorizar decisões comerciais (reposição de estoque, promoções, metas de vendedores) apenas pelo volume vendido pode mascarar produtos que, na prática, destroem margem. É necessário cruzar sempre quantidade com lucro/margem antes de decidir.</w:t>
            </w:r>
          </w:p>
        </w:tc>
      </w:tr>
    </w:tbl>
    <w:p w14:paraId="4988C46E" w14:textId="77777777" w:rsidR="0079012B" w:rsidRDefault="0079012B">
      <w:pPr>
        <w:spacing w:after="160"/>
      </w:pPr>
    </w:p>
    <w:p w14:paraId="1EE49AD0" w14:textId="77777777" w:rsidR="0079012B" w:rsidRDefault="00000000">
      <w:pPr>
        <w:spacing w:after="160" w:line="276" w:lineRule="auto"/>
      </w:pPr>
      <w:r>
        <w:rPr>
          <w:color w:val="262626"/>
        </w:rPr>
        <w:t>Vale destacar uma diferença metodológica importante: na página 2 do Power BI há um gráfico de 'produtos mais pedidos', que conta o número de pedidos distintos em que cada produto aparece — e não a quantidade total de unidades vendidas. Esse recorte evidencia quais itens têm maior recorrência de compra (ex.: materiais de escritório de reposição frequente, como grampos e envelopes), um indicador diferente de volume ou de lucro.</w:t>
      </w:r>
    </w:p>
    <w:p w14:paraId="7BC218A9" w14:textId="77777777" w:rsidR="000F66FE" w:rsidRDefault="000F66FE">
      <w:pPr>
        <w:spacing w:before="120" w:after="40"/>
        <w:jc w:val="center"/>
      </w:pPr>
    </w:p>
    <w:p w14:paraId="04CCDD5F" w14:textId="77777777" w:rsidR="000F66FE" w:rsidRDefault="000F66FE">
      <w:pPr>
        <w:spacing w:before="120" w:after="40"/>
        <w:jc w:val="center"/>
      </w:pPr>
    </w:p>
    <w:p w14:paraId="4313D1CA" w14:textId="6038F99D" w:rsidR="0079012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EFDAC0" wp14:editId="3FA7D81C">
            <wp:extent cx="4191000" cy="2857500"/>
            <wp:effectExtent l="0" t="0" r="0" b="0"/>
            <wp:docPr id="728853873" name="Imagem 728853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8D1" w14:textId="77777777" w:rsidR="00D90E5D" w:rsidRDefault="00000000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Top 10 produtos por número de pedidos distintos em que aparecem.</w:t>
      </w:r>
    </w:p>
    <w:p w14:paraId="240DF512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236E75CC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0FF7B160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6D8A9A51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667CBB95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4698FA3E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212ED3D2" w14:textId="77777777" w:rsidR="00D90E5D" w:rsidRDefault="00D90E5D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</w:p>
    <w:p w14:paraId="18EE32A2" w14:textId="173F7F99" w:rsidR="0079012B" w:rsidRPr="000F66FE" w:rsidRDefault="00000000" w:rsidP="000F66FE">
      <w:pPr>
        <w:spacing w:before="60" w:after="260"/>
        <w:jc w:val="center"/>
        <w:rPr>
          <w:i/>
          <w:iCs/>
          <w:color w:val="595959"/>
          <w:sz w:val="18"/>
          <w:szCs w:val="18"/>
        </w:rPr>
      </w:pPr>
      <w:r>
        <w:br w:type="page"/>
      </w:r>
    </w:p>
    <w:p w14:paraId="051942D4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lastRenderedPageBreak/>
        <w:t>3. Margem de Lucro por Subcategoria</w:t>
      </w:r>
    </w:p>
    <w:p w14:paraId="3525678E" w14:textId="1F650A24" w:rsidR="0079012B" w:rsidRDefault="00000000">
      <w:pPr>
        <w:spacing w:after="160" w:line="276" w:lineRule="auto"/>
      </w:pPr>
      <w:r>
        <w:rPr>
          <w:color w:val="262626"/>
        </w:rPr>
        <w:t xml:space="preserve">As subcategorias Labels, Paper e Envelopes apresentam as margens de lucro mais elevadas do negócio, entre 42% e 44% </w:t>
      </w:r>
      <w:r w:rsidR="000F66FE">
        <w:rPr>
          <w:color w:val="262626"/>
        </w:rPr>
        <w:t>,</w:t>
      </w:r>
      <w:r>
        <w:rPr>
          <w:color w:val="262626"/>
        </w:rPr>
        <w:t xml:space="preserve"> sendo as mais rentáveis proporcionalmente ao faturamento gerado. No extremo oposto, Supplies, Bookcases e Tables operam com margens negativas, e Machines, apesar do alto valor unitário, mantém uma margem bastante apertada, próxima de 1%.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160"/>
      </w:tblGrid>
      <w:tr w:rsidR="0079012B" w14:paraId="2BFF8590" w14:textId="77777777">
        <w:trPr>
          <w:tblHeader/>
        </w:trPr>
        <w:tc>
          <w:tcPr>
            <w:tcW w:w="36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27053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Subcategoria</w:t>
            </w:r>
          </w:p>
        </w:tc>
        <w:tc>
          <w:tcPr>
            <w:tcW w:w="26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C13C5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Perfil de margem</w:t>
            </w:r>
          </w:p>
        </w:tc>
        <w:tc>
          <w:tcPr>
            <w:tcW w:w="31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F2A89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79012B" w14:paraId="666B4A2A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BD35" w14:textId="77777777" w:rsidR="0079012B" w:rsidRDefault="00000000">
            <w:r>
              <w:rPr>
                <w:color w:val="262626"/>
                <w:sz w:val="19"/>
                <w:szCs w:val="19"/>
              </w:rPr>
              <w:t>Labels / Paper / Envelopes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5033" w14:textId="77777777" w:rsidR="0079012B" w:rsidRDefault="00000000">
            <w:r>
              <w:rPr>
                <w:color w:val="1E7D4F"/>
                <w:sz w:val="19"/>
                <w:szCs w:val="19"/>
              </w:rPr>
              <w:t>Alta (0,42 – 0,44)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C56" w14:textId="77777777" w:rsidR="0079012B" w:rsidRDefault="00000000">
            <w:r>
              <w:rPr>
                <w:color w:val="262626"/>
                <w:sz w:val="19"/>
                <w:szCs w:val="19"/>
              </w:rPr>
              <w:t>Mais rentáveis da empresa</w:t>
            </w:r>
          </w:p>
        </w:tc>
      </w:tr>
      <w:tr w:rsidR="0079012B" w14:paraId="6E352BF9" w14:textId="77777777"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0ED1" w14:textId="77777777" w:rsidR="0079012B" w:rsidRDefault="00000000">
            <w:r>
              <w:rPr>
                <w:color w:val="262626"/>
                <w:sz w:val="19"/>
                <w:szCs w:val="19"/>
              </w:rPr>
              <w:t>Machines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2E70" w14:textId="77777777" w:rsidR="0079012B" w:rsidRDefault="00000000">
            <w:r>
              <w:rPr>
                <w:color w:val="262626"/>
                <w:sz w:val="19"/>
                <w:szCs w:val="19"/>
              </w:rPr>
              <w:t>Baixa (~0,01)</w:t>
            </w:r>
          </w:p>
        </w:tc>
        <w:tc>
          <w:tcPr>
            <w:tcW w:w="3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2F3E" w14:textId="77777777" w:rsidR="0079012B" w:rsidRDefault="00000000">
            <w:r>
              <w:rPr>
                <w:color w:val="262626"/>
                <w:sz w:val="19"/>
                <w:szCs w:val="19"/>
              </w:rPr>
              <w:t>Alto valor de venda, margem apertada</w:t>
            </w:r>
          </w:p>
        </w:tc>
      </w:tr>
      <w:tr w:rsidR="0079012B" w14:paraId="4239E05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D01E" w14:textId="77777777" w:rsidR="0079012B" w:rsidRDefault="00000000">
            <w:r>
              <w:rPr>
                <w:color w:val="262626"/>
                <w:sz w:val="19"/>
                <w:szCs w:val="19"/>
              </w:rPr>
              <w:t>Supplies / Bookcases / Tables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CEA9" w14:textId="77777777" w:rsidR="0079012B" w:rsidRDefault="00000000">
            <w:r>
              <w:rPr>
                <w:color w:val="B3261E"/>
                <w:sz w:val="19"/>
                <w:szCs w:val="19"/>
              </w:rPr>
              <w:t>Negativa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1957" w14:textId="77777777" w:rsidR="0079012B" w:rsidRDefault="00000000">
            <w:r>
              <w:rPr>
                <w:color w:val="262626"/>
                <w:sz w:val="19"/>
                <w:szCs w:val="19"/>
              </w:rPr>
              <w:t>Geram prejuízo no período</w:t>
            </w:r>
          </w:p>
        </w:tc>
      </w:tr>
    </w:tbl>
    <w:p w14:paraId="415F68BB" w14:textId="77777777" w:rsidR="0079012B" w:rsidRDefault="00000000">
      <w:pPr>
        <w:pStyle w:val="Ttulo2"/>
        <w:spacing w:before="280" w:after="120"/>
      </w:pPr>
      <w:r>
        <w:rPr>
          <w:b/>
          <w:bCs/>
          <w:color w:val="2E6FD9"/>
          <w:sz w:val="24"/>
          <w:szCs w:val="24"/>
        </w:rPr>
        <w:t>3.1 Subcategorias com prejuízo</w:t>
      </w:r>
    </w:p>
    <w:p w14:paraId="04419798" w14:textId="77777777" w:rsidR="0079012B" w:rsidRDefault="00000000">
      <w:pPr>
        <w:spacing w:after="160" w:line="276" w:lineRule="auto"/>
      </w:pPr>
      <w:r>
        <w:rPr>
          <w:color w:val="262626"/>
        </w:rPr>
        <w:t>Apenas três subcategorias fecham o período com lucro total negativo: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79012B" w14:paraId="7E5686AB" w14:textId="77777777">
        <w:trPr>
          <w:tblHeader/>
        </w:trPr>
        <w:tc>
          <w:tcPr>
            <w:tcW w:w="50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14489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Subcategoria</w:t>
            </w:r>
          </w:p>
        </w:tc>
        <w:tc>
          <w:tcPr>
            <w:tcW w:w="43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F1CF4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Lucro Total (R$)</w:t>
            </w:r>
          </w:p>
        </w:tc>
      </w:tr>
      <w:tr w:rsidR="0079012B" w14:paraId="06EC0918" w14:textId="77777777"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39A4" w14:textId="77777777" w:rsidR="0079012B" w:rsidRDefault="00000000">
            <w:r>
              <w:rPr>
                <w:color w:val="262626"/>
                <w:sz w:val="19"/>
                <w:szCs w:val="19"/>
              </w:rPr>
              <w:t>Tables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3B98" w14:textId="77777777" w:rsidR="0079012B" w:rsidRDefault="00000000">
            <w:r>
              <w:rPr>
                <w:color w:val="B3261E"/>
                <w:sz w:val="19"/>
                <w:szCs w:val="19"/>
              </w:rPr>
              <w:t>-17.725,59</w:t>
            </w:r>
          </w:p>
        </w:tc>
      </w:tr>
      <w:tr w:rsidR="0079012B" w14:paraId="22F9210A" w14:textId="77777777">
        <w:tc>
          <w:tcPr>
            <w:tcW w:w="5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8D26" w14:textId="77777777" w:rsidR="0079012B" w:rsidRDefault="00000000">
            <w:r>
              <w:rPr>
                <w:color w:val="262626"/>
                <w:sz w:val="19"/>
                <w:szCs w:val="19"/>
              </w:rPr>
              <w:t>Bookcases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C3D2" w14:textId="77777777" w:rsidR="0079012B" w:rsidRDefault="00000000">
            <w:r>
              <w:rPr>
                <w:color w:val="B3261E"/>
                <w:sz w:val="19"/>
                <w:szCs w:val="19"/>
              </w:rPr>
              <w:t>-3.472,56</w:t>
            </w:r>
          </w:p>
        </w:tc>
      </w:tr>
      <w:tr w:rsidR="0079012B" w14:paraId="3B2DFB59" w14:textId="77777777"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36A1" w14:textId="77777777" w:rsidR="0079012B" w:rsidRDefault="00000000">
            <w:r>
              <w:rPr>
                <w:color w:val="262626"/>
                <w:sz w:val="19"/>
                <w:szCs w:val="19"/>
              </w:rPr>
              <w:t>Supplies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8899" w14:textId="77777777" w:rsidR="0079012B" w:rsidRDefault="00000000">
            <w:r>
              <w:rPr>
                <w:color w:val="B3261E"/>
                <w:sz w:val="19"/>
                <w:szCs w:val="19"/>
              </w:rPr>
              <w:t>-1.188,99</w:t>
            </w:r>
          </w:p>
        </w:tc>
      </w:tr>
    </w:tbl>
    <w:p w14:paraId="6E104DC9" w14:textId="72C33B6F" w:rsidR="0079012B" w:rsidRDefault="0079012B"/>
    <w:p w14:paraId="02850AAA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4. Impacto do Desconto na Margem de Lucro</w:t>
      </w:r>
    </w:p>
    <w:p w14:paraId="44F6CBF0" w14:textId="77777777" w:rsidR="0079012B" w:rsidRDefault="00000000">
      <w:pPr>
        <w:spacing w:after="160" w:line="276" w:lineRule="auto"/>
      </w:pPr>
      <w:r>
        <w:rPr>
          <w:color w:val="262626"/>
        </w:rPr>
        <w:t>O gráfico de dispersão abaixo relaciona o percentual de desconto concedido com a margem de lucro resultante. A relação é claramente negativa: quanto maior o desconto, menor (e progressivamente mais negativa) a margem.</w:t>
      </w:r>
    </w:p>
    <w:p w14:paraId="4AFA8829" w14:textId="77777777" w:rsidR="0079012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51A7447" wp14:editId="02EB93ED">
            <wp:extent cx="4572000" cy="1876425"/>
            <wp:effectExtent l="0" t="0" r="0" b="0"/>
            <wp:docPr id="1144670699" name="Imagem 114467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72CD" w14:textId="77777777" w:rsidR="0079012B" w:rsidRDefault="00000000">
      <w:pPr>
        <w:spacing w:before="60" w:after="260"/>
        <w:jc w:val="center"/>
      </w:pPr>
      <w:r>
        <w:rPr>
          <w:i/>
          <w:iCs/>
          <w:color w:val="595959"/>
          <w:sz w:val="18"/>
          <w:szCs w:val="18"/>
        </w:rPr>
        <w:t>Margem de lucro por faixa de desconto aplicado.</w:t>
      </w:r>
    </w:p>
    <w:p w14:paraId="11AED727" w14:textId="329CDFF6" w:rsidR="0079012B" w:rsidRDefault="00000000">
      <w:pPr>
        <w:spacing w:after="160" w:line="276" w:lineRule="auto"/>
      </w:pPr>
      <w:r>
        <w:rPr>
          <w:color w:val="262626"/>
        </w:rPr>
        <w:lastRenderedPageBreak/>
        <w:t xml:space="preserve">A grande maioria das subcategorias só é lucrativa quando vendida sem desconto (0%). A subcategoria Machines é a única exceção relevante, mantendo lucro positivo mesmo com descontos de até 30%. É importante registrar que a empresa concede descontos de até 80%, porém nenhuma subcategoria </w:t>
      </w:r>
      <w:r w:rsidR="000F66FE">
        <w:rPr>
          <w:color w:val="262626"/>
        </w:rPr>
        <w:t>,</w:t>
      </w:r>
      <w:r>
        <w:rPr>
          <w:color w:val="262626"/>
        </w:rPr>
        <w:t xml:space="preserve"> nem mesmo Machines </w:t>
      </w:r>
      <w:r w:rsidR="000F66FE">
        <w:rPr>
          <w:color w:val="262626"/>
        </w:rPr>
        <w:t xml:space="preserve">, </w:t>
      </w:r>
      <w:r>
        <w:rPr>
          <w:color w:val="262626"/>
        </w:rPr>
        <w:t>sustenta lucro positivo acima da faixa de 30% de desconto.</w:t>
      </w:r>
    </w:p>
    <w:tbl>
      <w:tblPr>
        <w:tblW w:w="5000" w:type="pct"/>
        <w:tblBorders>
          <w:top w:val="single" w:sz="4" w:space="0" w:color="B3261E"/>
          <w:left w:val="single" w:sz="24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9012B" w14:paraId="35CB44AB" w14:textId="77777777"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809AE0" w14:textId="77777777" w:rsidR="0079012B" w:rsidRDefault="00000000">
            <w:pPr>
              <w:spacing w:after="60"/>
            </w:pPr>
            <w:r>
              <w:rPr>
                <w:b/>
                <w:bCs/>
                <w:color w:val="B3261E"/>
              </w:rPr>
              <w:t>Descontos acima de 20%</w:t>
            </w:r>
          </w:p>
          <w:p w14:paraId="0FC28DEC" w14:textId="6CE22E44" w:rsidR="0079012B" w:rsidRDefault="00000000">
            <w:r>
              <w:rPr>
                <w:color w:val="262626"/>
                <w:sz w:val="20"/>
                <w:szCs w:val="20"/>
              </w:rPr>
              <w:t xml:space="preserve">Pedidos com desconto superior a 20% geram, em conjunto, lucro de -R$ 135.376,44 e margem média de -37,32%. Esse grupo representa aproximadamente 1/10 do total de pedidos </w:t>
            </w:r>
            <w:r w:rsidR="000F66FE">
              <w:rPr>
                <w:color w:val="262626"/>
                <w:sz w:val="20"/>
                <w:szCs w:val="20"/>
              </w:rPr>
              <w:t>,</w:t>
            </w:r>
            <w:r>
              <w:rPr>
                <w:color w:val="262626"/>
                <w:sz w:val="20"/>
                <w:szCs w:val="20"/>
              </w:rPr>
              <w:t xml:space="preserve"> ou seja, uma fatia pequena em volume, mas com impacto desproporcional e negativo no resultado financeiro.</w:t>
            </w:r>
          </w:p>
        </w:tc>
      </w:tr>
    </w:tbl>
    <w:p w14:paraId="521614DC" w14:textId="51638A73" w:rsidR="0079012B" w:rsidRDefault="0079012B"/>
    <w:p w14:paraId="342B135D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5. Desempenho por Categoria</w:t>
      </w:r>
    </w:p>
    <w:p w14:paraId="7392AFA6" w14:textId="2A689C28" w:rsidR="0079012B" w:rsidRDefault="00000000">
      <w:pPr>
        <w:spacing w:after="160" w:line="276" w:lineRule="auto"/>
      </w:pPr>
      <w:r>
        <w:rPr>
          <w:color w:val="262626"/>
        </w:rPr>
        <w:t xml:space="preserve">A categoria Technology foi a que mais gerou lucro no período, mesmo sendo a categoria com menor volume de vendas em quantidade </w:t>
      </w:r>
      <w:r w:rsidR="000F66FE">
        <w:rPr>
          <w:color w:val="262626"/>
        </w:rPr>
        <w:t>,</w:t>
      </w:r>
      <w:r>
        <w:rPr>
          <w:color w:val="262626"/>
        </w:rPr>
        <w:t xml:space="preserve"> um indício de que o mix de produtos tecnológicos tem maior valor agregado por unidade.</w:t>
      </w:r>
    </w:p>
    <w:p w14:paraId="5D695D7A" w14:textId="77777777" w:rsidR="0079012B" w:rsidRDefault="00000000">
      <w:pPr>
        <w:spacing w:after="160" w:line="276" w:lineRule="auto"/>
      </w:pPr>
      <w:r>
        <w:rPr>
          <w:color w:val="262626"/>
        </w:rPr>
        <w:t>As margens de lucro de Technology (17,3%) e Office Supplies (17,0%) estão praticamente empatadas, o que mostra que a diferença de lucro total entre as duas categorias vem principalmente do volume financeiro movimentado, e não da eficiência de margem. O destaque negativo é Furniture, com lucro baixo e margem de apenas 2%.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60"/>
      </w:tblGrid>
      <w:tr w:rsidR="0079012B" w14:paraId="18B9E38D" w14:textId="77777777">
        <w:trPr>
          <w:tblHeader/>
        </w:trPr>
        <w:tc>
          <w:tcPr>
            <w:tcW w:w="32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3F9FF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6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A7BF6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Margem de Lucro</w:t>
            </w:r>
          </w:p>
        </w:tc>
        <w:tc>
          <w:tcPr>
            <w:tcW w:w="35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25B6A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79012B" w14:paraId="63FC7DF3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5D62" w14:textId="77777777" w:rsidR="0079012B" w:rsidRDefault="00000000">
            <w:r>
              <w:rPr>
                <w:color w:val="262626"/>
                <w:sz w:val="19"/>
                <w:szCs w:val="19"/>
              </w:rPr>
              <w:t>Technology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452F" w14:textId="77777777" w:rsidR="0079012B" w:rsidRDefault="00000000">
            <w:r>
              <w:rPr>
                <w:color w:val="262626"/>
                <w:sz w:val="19"/>
                <w:szCs w:val="19"/>
              </w:rPr>
              <w:t>17,3%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C19D" w14:textId="77777777" w:rsidR="0079012B" w:rsidRDefault="00000000">
            <w:r>
              <w:rPr>
                <w:color w:val="262626"/>
                <w:sz w:val="19"/>
                <w:szCs w:val="19"/>
              </w:rPr>
              <w:t>Maior lucro total, menor volume em quantidade</w:t>
            </w:r>
          </w:p>
        </w:tc>
      </w:tr>
      <w:tr w:rsidR="0079012B" w14:paraId="7F413830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C2EB" w14:textId="77777777" w:rsidR="0079012B" w:rsidRDefault="00000000">
            <w:r>
              <w:rPr>
                <w:color w:val="262626"/>
                <w:sz w:val="19"/>
                <w:szCs w:val="19"/>
              </w:rPr>
              <w:t>Office Supplies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A3EF" w14:textId="77777777" w:rsidR="0079012B" w:rsidRDefault="00000000">
            <w:r>
              <w:rPr>
                <w:color w:val="262626"/>
                <w:sz w:val="19"/>
                <w:szCs w:val="19"/>
              </w:rPr>
              <w:t>17,0%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FD9D" w14:textId="77777777" w:rsidR="0079012B" w:rsidRDefault="00000000">
            <w:r>
              <w:rPr>
                <w:color w:val="262626"/>
                <w:sz w:val="19"/>
                <w:szCs w:val="19"/>
              </w:rPr>
              <w:t>Margem praticamente igual à de Technology</w:t>
            </w:r>
          </w:p>
        </w:tc>
      </w:tr>
      <w:tr w:rsidR="0079012B" w14:paraId="35A10746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8692" w14:textId="77777777" w:rsidR="0079012B" w:rsidRDefault="00000000">
            <w:r>
              <w:rPr>
                <w:color w:val="262626"/>
                <w:sz w:val="19"/>
                <w:szCs w:val="19"/>
              </w:rPr>
              <w:t>Furniture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4FB4" w14:textId="77777777" w:rsidR="0079012B" w:rsidRDefault="00000000">
            <w:r>
              <w:rPr>
                <w:color w:val="B3261E"/>
                <w:sz w:val="19"/>
                <w:szCs w:val="19"/>
              </w:rPr>
              <w:t>~2%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7CDD" w14:textId="77777777" w:rsidR="0079012B" w:rsidRDefault="00000000">
            <w:r>
              <w:rPr>
                <w:color w:val="262626"/>
                <w:sz w:val="19"/>
                <w:szCs w:val="19"/>
              </w:rPr>
              <w:t>Pior desempenho em lucro e margem</w:t>
            </w:r>
          </w:p>
        </w:tc>
      </w:tr>
    </w:tbl>
    <w:p w14:paraId="7DA0CBDD" w14:textId="77777777" w:rsidR="0079012B" w:rsidRDefault="00000000">
      <w:pPr>
        <w:pStyle w:val="Ttulo2"/>
        <w:spacing w:before="280" w:after="120"/>
      </w:pPr>
      <w:r>
        <w:rPr>
          <w:b/>
          <w:bCs/>
          <w:color w:val="2E6FD9"/>
          <w:sz w:val="24"/>
          <w:szCs w:val="24"/>
        </w:rPr>
        <w:t>5.1 Subcategorias de destaque: Copiers e Binders</w:t>
      </w:r>
    </w:p>
    <w:p w14:paraId="1CB9C969" w14:textId="362883C3" w:rsidR="0079012B" w:rsidRDefault="00000000">
      <w:pPr>
        <w:spacing w:after="160" w:line="276" w:lineRule="auto"/>
      </w:pPr>
      <w:r>
        <w:rPr>
          <w:color w:val="262626"/>
        </w:rPr>
        <w:t xml:space="preserve">Dentro das subcategorias, Copiers concentra o maior lucro total </w:t>
      </w:r>
      <w:r w:rsidR="000F66FE">
        <w:rPr>
          <w:color w:val="262626"/>
        </w:rPr>
        <w:t>,</w:t>
      </w:r>
      <w:r>
        <w:rPr>
          <w:color w:val="262626"/>
        </w:rPr>
        <w:t xml:space="preserve"> puxado principalmente pelo desempenho isolado do Canon imageCLASS 2200 (ver seção 2) </w:t>
      </w:r>
      <w:r w:rsidR="000F66FE">
        <w:rPr>
          <w:color w:val="262626"/>
        </w:rPr>
        <w:t>,</w:t>
      </w:r>
      <w:r>
        <w:rPr>
          <w:color w:val="262626"/>
        </w:rPr>
        <w:t xml:space="preserve"> enquanto Binders é a subcategoria com maior volume de vendas, refletindo seu papel como item de reposição recorrente.</w:t>
      </w:r>
    </w:p>
    <w:p w14:paraId="1E7078D2" w14:textId="2F89B72D" w:rsidR="0079012B" w:rsidRDefault="0079012B"/>
    <w:p w14:paraId="5BD7C231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6. Desempenho Regional</w:t>
      </w:r>
    </w:p>
    <w:p w14:paraId="7F41AA96" w14:textId="77777777" w:rsidR="0079012B" w:rsidRDefault="00000000">
      <w:pPr>
        <w:spacing w:after="160" w:line="276" w:lineRule="auto"/>
      </w:pPr>
      <w:r>
        <w:rPr>
          <w:color w:val="262626"/>
        </w:rPr>
        <w:t>A região West apresenta o melhor desempenho geral, com lucro de R$ 108.418,79 e margem de 14,9%. A região East tem lucro total menor (R$ 91.522,84), mas uma margem próxima à de West (13,4%), indicando eficiência operacional semelhante em uma base de vendas menor.</w:t>
      </w:r>
    </w:p>
    <w:p w14:paraId="153A4610" w14:textId="1BF20B5C" w:rsidR="0079012B" w:rsidRDefault="00000000">
      <w:pPr>
        <w:spacing w:after="160" w:line="276" w:lineRule="auto"/>
      </w:pPr>
      <w:r>
        <w:rPr>
          <w:color w:val="262626"/>
        </w:rPr>
        <w:lastRenderedPageBreak/>
        <w:t xml:space="preserve">South e Central apresentam lucros totais próximos entre si, porém a margem de South é aproximadamente </w:t>
      </w:r>
      <w:r w:rsidR="00D90E5D">
        <w:rPr>
          <w:color w:val="262626"/>
        </w:rPr>
        <w:t xml:space="preserve">4 </w:t>
      </w:r>
      <w:r>
        <w:rPr>
          <w:color w:val="262626"/>
        </w:rPr>
        <w:t xml:space="preserve">pontos percentuais superior à de Central </w:t>
      </w:r>
      <w:r w:rsidR="000F66FE">
        <w:rPr>
          <w:color w:val="262626"/>
        </w:rPr>
        <w:t>,</w:t>
      </w:r>
      <w:r>
        <w:rPr>
          <w:color w:val="262626"/>
        </w:rPr>
        <w:t xml:space="preserve"> sinal de que Central vende em volume parecido com South, mas converte esse volume em lucro de forma menos eficiente.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300"/>
        <w:gridCol w:w="2960"/>
      </w:tblGrid>
      <w:tr w:rsidR="0079012B" w14:paraId="3F1A62E2" w14:textId="77777777">
        <w:trPr>
          <w:tblHeader/>
        </w:trPr>
        <w:tc>
          <w:tcPr>
            <w:tcW w:w="31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E9A2B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Região</w:t>
            </w:r>
          </w:p>
        </w:tc>
        <w:tc>
          <w:tcPr>
            <w:tcW w:w="33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D52F8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Lucro Total (R$)</w:t>
            </w:r>
          </w:p>
        </w:tc>
        <w:tc>
          <w:tcPr>
            <w:tcW w:w="29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A493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Margem de Lucro</w:t>
            </w:r>
          </w:p>
        </w:tc>
      </w:tr>
      <w:tr w:rsidR="0079012B" w14:paraId="08EBDAEA" w14:textId="77777777"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5CE1" w14:textId="77777777" w:rsidR="0079012B" w:rsidRDefault="00000000">
            <w:r>
              <w:rPr>
                <w:color w:val="262626"/>
                <w:sz w:val="19"/>
                <w:szCs w:val="19"/>
              </w:rPr>
              <w:t>West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0958" w14:textId="77777777" w:rsidR="0079012B" w:rsidRDefault="00000000">
            <w:r>
              <w:rPr>
                <w:color w:val="262626"/>
                <w:sz w:val="19"/>
                <w:szCs w:val="19"/>
              </w:rPr>
              <w:t>108.418,79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423" w14:textId="77777777" w:rsidR="0079012B" w:rsidRDefault="00000000">
            <w:r>
              <w:rPr>
                <w:color w:val="262626"/>
                <w:sz w:val="19"/>
                <w:szCs w:val="19"/>
              </w:rPr>
              <w:t>14,9%</w:t>
            </w:r>
          </w:p>
        </w:tc>
      </w:tr>
      <w:tr w:rsidR="0079012B" w14:paraId="6440E3F2" w14:textId="77777777"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FF53" w14:textId="77777777" w:rsidR="0079012B" w:rsidRDefault="00000000">
            <w:r>
              <w:rPr>
                <w:color w:val="262626"/>
                <w:sz w:val="19"/>
                <w:szCs w:val="19"/>
              </w:rPr>
              <w:t>East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F575" w14:textId="77777777" w:rsidR="0079012B" w:rsidRDefault="00000000">
            <w:r>
              <w:rPr>
                <w:color w:val="262626"/>
                <w:sz w:val="19"/>
                <w:szCs w:val="19"/>
              </w:rPr>
              <w:t>91.522,84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6F54" w14:textId="77777777" w:rsidR="0079012B" w:rsidRDefault="00000000">
            <w:r>
              <w:rPr>
                <w:color w:val="262626"/>
                <w:sz w:val="19"/>
                <w:szCs w:val="19"/>
              </w:rPr>
              <w:t>13,4%</w:t>
            </w:r>
          </w:p>
        </w:tc>
      </w:tr>
      <w:tr w:rsidR="0079012B" w14:paraId="6BFB5E80" w14:textId="77777777"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B37A" w14:textId="77777777" w:rsidR="0079012B" w:rsidRDefault="00000000">
            <w:r>
              <w:rPr>
                <w:color w:val="262626"/>
                <w:sz w:val="19"/>
                <w:szCs w:val="19"/>
              </w:rPr>
              <w:t>South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0CC3" w14:textId="3B3A6E66" w:rsidR="0079012B" w:rsidRDefault="00D90E5D">
            <w:r>
              <w:t>46.749,43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6C95" w14:textId="073D0B07" w:rsidR="0079012B" w:rsidRDefault="00D90E5D">
            <w:r>
              <w:rPr>
                <w:color w:val="262626"/>
                <w:sz w:val="19"/>
                <w:szCs w:val="19"/>
              </w:rPr>
              <w:t>11,9%</w:t>
            </w:r>
          </w:p>
        </w:tc>
      </w:tr>
      <w:tr w:rsidR="0079012B" w14:paraId="635E4C99" w14:textId="77777777"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548E" w14:textId="77777777" w:rsidR="0079012B" w:rsidRDefault="00000000">
            <w:r>
              <w:rPr>
                <w:color w:val="262626"/>
                <w:sz w:val="19"/>
                <w:szCs w:val="19"/>
              </w:rPr>
              <w:t>Central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8F66" w14:textId="59257B41" w:rsidR="0079012B" w:rsidRDefault="00D90E5D">
            <w:r>
              <w:t>39.706,36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FE4A" w14:textId="788F9115" w:rsidR="0079012B" w:rsidRDefault="00D90E5D">
            <w:r>
              <w:rPr>
                <w:color w:val="262626"/>
                <w:sz w:val="19"/>
                <w:szCs w:val="19"/>
              </w:rPr>
              <w:t>7,9%</w:t>
            </w:r>
          </w:p>
        </w:tc>
      </w:tr>
    </w:tbl>
    <w:p w14:paraId="33AD831E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7. Sazonalidade</w:t>
      </w:r>
    </w:p>
    <w:p w14:paraId="228BE134" w14:textId="159E136E" w:rsidR="0079012B" w:rsidRDefault="00000000">
      <w:pPr>
        <w:spacing w:after="160" w:line="276" w:lineRule="auto"/>
      </w:pPr>
      <w:r>
        <w:rPr>
          <w:color w:val="262626"/>
        </w:rPr>
        <w:t xml:space="preserve">A visualização de faturamento ao longo do tempo no Power BI revela um padrão sazonal claro: Janeiro e Fevereiro apresentam faturamento consistentemente baixo em relação ao restante do ano, enquanto Setembro, Novembro e Dezembro concentram os picos de faturamento </w:t>
      </w:r>
      <w:r w:rsidR="000F66FE">
        <w:rPr>
          <w:color w:val="262626"/>
        </w:rPr>
        <w:t>,</w:t>
      </w:r>
      <w:r>
        <w:rPr>
          <w:color w:val="262626"/>
        </w:rPr>
        <w:t xml:space="preserve"> padrão compatível com ciclos de compras corporativas de fim de ano.</w:t>
      </w:r>
    </w:p>
    <w:p w14:paraId="6B4B506B" w14:textId="77777777" w:rsidR="0079012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2968D31" wp14:editId="08CB0D73">
            <wp:extent cx="5715000" cy="1476375"/>
            <wp:effectExtent l="0" t="0" r="0" b="9525"/>
            <wp:docPr id="1931656833" name="Imagem 193165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27B" w14:textId="77777777" w:rsidR="0079012B" w:rsidRDefault="00000000">
      <w:pPr>
        <w:spacing w:before="60" w:after="260"/>
        <w:jc w:val="center"/>
      </w:pPr>
      <w:r>
        <w:rPr>
          <w:i/>
          <w:iCs/>
          <w:color w:val="595959"/>
          <w:sz w:val="18"/>
          <w:szCs w:val="18"/>
        </w:rPr>
        <w:t>Faturamento total ao longo do tempo (2014–2017).</w:t>
      </w:r>
    </w:p>
    <w:tbl>
      <w:tblPr>
        <w:tblW w:w="5000" w:type="pct"/>
        <w:tblBorders>
          <w:top w:val="single" w:sz="4" w:space="0" w:color="1E7D4F"/>
          <w:left w:val="single" w:sz="24" w:space="0" w:color="1E7D4F"/>
          <w:bottom w:val="single" w:sz="4" w:space="0" w:color="1E7D4F"/>
          <w:right w:val="single" w:sz="4" w:space="0" w:color="1E7D4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9012B" w14:paraId="1D356905" w14:textId="77777777"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26CB08" w14:textId="77777777" w:rsidR="0079012B" w:rsidRDefault="00000000">
            <w:pPr>
              <w:spacing w:after="60"/>
            </w:pPr>
            <w:r>
              <w:rPr>
                <w:b/>
                <w:bCs/>
                <w:color w:val="1E7D4F"/>
              </w:rPr>
              <w:t>Fevereiro: o mês contraintuitivo</w:t>
            </w:r>
          </w:p>
          <w:p w14:paraId="2A47BD49" w14:textId="77777777" w:rsidR="0079012B" w:rsidRDefault="00000000">
            <w:r>
              <w:rPr>
                <w:color w:val="262626"/>
                <w:sz w:val="20"/>
                <w:szCs w:val="20"/>
              </w:rPr>
              <w:t>Apesar da queda visível no faturamento, Fevereiro é o mês com a maior margem de lucro média do calendário, em torno de 17%. Isso sugere que, embora vendam menos nesse período, as vendas realizadas em fevereiro tendem a ocorrer com menos desconto e/ou mix de produtos mais rentável.</w:t>
            </w:r>
          </w:p>
        </w:tc>
      </w:tr>
    </w:tbl>
    <w:p w14:paraId="250AB3F1" w14:textId="5144FB22" w:rsidR="0079012B" w:rsidRDefault="0079012B"/>
    <w:p w14:paraId="26A5F733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8. Combinações Críticas de Prejuízo</w:t>
      </w:r>
    </w:p>
    <w:p w14:paraId="4809206A" w14:textId="61B3BC28" w:rsidR="0079012B" w:rsidRDefault="00000000">
      <w:pPr>
        <w:spacing w:after="160" w:line="276" w:lineRule="auto"/>
      </w:pPr>
      <w:r>
        <w:rPr>
          <w:color w:val="262626"/>
        </w:rPr>
        <w:t>Cruzando região, categoria e desconto, é possível identificar as combinações mais destrutivas de valor. A pior delas é Central</w:t>
      </w:r>
      <w:r w:rsidR="000F66FE">
        <w:rPr>
          <w:color w:val="262626"/>
        </w:rPr>
        <w:t xml:space="preserve"> e </w:t>
      </w:r>
      <w:r>
        <w:rPr>
          <w:color w:val="262626"/>
        </w:rPr>
        <w:t xml:space="preserve">Office Supplies com 80% de desconto, resultando em margem de -180,0%. Em seguida aparecem East e West </w:t>
      </w:r>
      <w:r w:rsidR="000F66FE">
        <w:rPr>
          <w:color w:val="262626"/>
        </w:rPr>
        <w:t>e</w:t>
      </w:r>
      <w:r>
        <w:rPr>
          <w:color w:val="262626"/>
        </w:rPr>
        <w:t xml:space="preserve"> Technology com 70% de desconto, ambas com margem aproximada de -120%.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200"/>
        <w:gridCol w:w="2460"/>
      </w:tblGrid>
      <w:tr w:rsidR="0079012B" w14:paraId="3178D091" w14:textId="77777777">
        <w:trPr>
          <w:tblHeader/>
        </w:trPr>
        <w:tc>
          <w:tcPr>
            <w:tcW w:w="47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67E3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Combinação (Região — Categoria)</w:t>
            </w:r>
          </w:p>
        </w:tc>
        <w:tc>
          <w:tcPr>
            <w:tcW w:w="22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74016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Desconto</w:t>
            </w:r>
          </w:p>
        </w:tc>
        <w:tc>
          <w:tcPr>
            <w:tcW w:w="24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276EA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Margem</w:t>
            </w:r>
          </w:p>
        </w:tc>
      </w:tr>
      <w:tr w:rsidR="0079012B" w14:paraId="271654DF" w14:textId="77777777"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1130" w14:textId="77777777" w:rsidR="0079012B" w:rsidRDefault="00000000">
            <w:r>
              <w:rPr>
                <w:color w:val="262626"/>
                <w:sz w:val="19"/>
                <w:szCs w:val="19"/>
              </w:rPr>
              <w:t>Central — Office Supplies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0EFE" w14:textId="77777777" w:rsidR="0079012B" w:rsidRDefault="00000000">
            <w:r>
              <w:rPr>
                <w:color w:val="262626"/>
                <w:sz w:val="19"/>
                <w:szCs w:val="19"/>
              </w:rPr>
              <w:t>80%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F4BA" w14:textId="77777777" w:rsidR="0079012B" w:rsidRDefault="00000000">
            <w:r>
              <w:rPr>
                <w:color w:val="B3261E"/>
                <w:sz w:val="19"/>
                <w:szCs w:val="19"/>
              </w:rPr>
              <w:t>-180,0%</w:t>
            </w:r>
          </w:p>
        </w:tc>
      </w:tr>
      <w:tr w:rsidR="0079012B" w14:paraId="4F2BE85B" w14:textId="77777777">
        <w:tc>
          <w:tcPr>
            <w:tcW w:w="4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A590" w14:textId="77777777" w:rsidR="0079012B" w:rsidRDefault="00000000">
            <w:r>
              <w:rPr>
                <w:color w:val="262626"/>
                <w:sz w:val="19"/>
                <w:szCs w:val="19"/>
              </w:rPr>
              <w:t>East — Technology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41C8" w14:textId="77777777" w:rsidR="0079012B" w:rsidRDefault="00000000">
            <w:r>
              <w:rPr>
                <w:color w:val="262626"/>
                <w:sz w:val="19"/>
                <w:szCs w:val="19"/>
              </w:rPr>
              <w:t>70%</w:t>
            </w:r>
          </w:p>
        </w:tc>
        <w:tc>
          <w:tcPr>
            <w:tcW w:w="2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5F8A" w14:textId="77777777" w:rsidR="0079012B" w:rsidRDefault="00000000">
            <w:r>
              <w:rPr>
                <w:color w:val="B3261E"/>
                <w:sz w:val="19"/>
                <w:szCs w:val="19"/>
              </w:rPr>
              <w:t>≈ -120%</w:t>
            </w:r>
          </w:p>
        </w:tc>
      </w:tr>
      <w:tr w:rsidR="0079012B" w14:paraId="390EC682" w14:textId="77777777"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BFE0" w14:textId="77777777" w:rsidR="0079012B" w:rsidRDefault="00000000">
            <w:r>
              <w:rPr>
                <w:color w:val="262626"/>
                <w:sz w:val="19"/>
                <w:szCs w:val="19"/>
              </w:rPr>
              <w:t>West — Technology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E5E5" w14:textId="77777777" w:rsidR="0079012B" w:rsidRDefault="00000000">
            <w:r>
              <w:rPr>
                <w:color w:val="262626"/>
                <w:sz w:val="19"/>
                <w:szCs w:val="19"/>
              </w:rPr>
              <w:t>70%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3CCA" w14:textId="77777777" w:rsidR="0079012B" w:rsidRDefault="00000000">
            <w:r>
              <w:rPr>
                <w:color w:val="B3261E"/>
                <w:sz w:val="19"/>
                <w:szCs w:val="19"/>
              </w:rPr>
              <w:t>≈ -120%</w:t>
            </w:r>
          </w:p>
        </w:tc>
      </w:tr>
    </w:tbl>
    <w:p w14:paraId="24A5E5B3" w14:textId="77777777" w:rsidR="000F66FE" w:rsidRDefault="000F66FE">
      <w:pPr>
        <w:spacing w:after="160" w:line="276" w:lineRule="auto"/>
        <w:rPr>
          <w:color w:val="262626"/>
        </w:rPr>
      </w:pPr>
    </w:p>
    <w:p w14:paraId="06E23AC1" w14:textId="0F45F9C5" w:rsidR="0079012B" w:rsidRDefault="00000000">
      <w:pPr>
        <w:spacing w:after="160" w:line="276" w:lineRule="auto"/>
        <w:rPr>
          <w:color w:val="262626"/>
        </w:rPr>
      </w:pPr>
      <w:r>
        <w:rPr>
          <w:color w:val="262626"/>
        </w:rPr>
        <w:t xml:space="preserve">Além desses casos extremos, existem outras combinações com margem fortemente negativa, todas envolvendo descontos acima de 30% </w:t>
      </w:r>
      <w:r w:rsidR="000F66FE">
        <w:rPr>
          <w:color w:val="262626"/>
        </w:rPr>
        <w:t>,</w:t>
      </w:r>
      <w:r>
        <w:rPr>
          <w:color w:val="262626"/>
        </w:rPr>
        <w:t xml:space="preserve"> e a maioria delas concentrada na subcategoria Furniture, reforçando o padrão já identificado na seção 3 de que essa linha de produtos tem baixa tolerância a desconto.</w:t>
      </w:r>
    </w:p>
    <w:p w14:paraId="1EC046A9" w14:textId="77777777" w:rsidR="000F66FE" w:rsidRDefault="000F66FE">
      <w:pPr>
        <w:spacing w:after="160" w:line="276" w:lineRule="auto"/>
      </w:pPr>
    </w:p>
    <w:p w14:paraId="2FF4A334" w14:textId="326D8B67" w:rsidR="0079012B" w:rsidRDefault="0079012B"/>
    <w:p w14:paraId="5725D85B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9. Análise de Clientes</w:t>
      </w:r>
    </w:p>
    <w:p w14:paraId="61EA0C6C" w14:textId="77777777" w:rsidR="0079012B" w:rsidRDefault="00000000">
      <w:pPr>
        <w:spacing w:after="160" w:line="276" w:lineRule="auto"/>
      </w:pPr>
      <w:r>
        <w:rPr>
          <w:color w:val="262626"/>
        </w:rPr>
        <w:t>Nem todo cliente recorrente é um cliente lucrativo. A página 'Clientes e Pedidos' do dashboard permite cruzar número de pedidos com margem de lucro, revelando clientes de alto volume que, na prática, corroem a rentabilidade: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000"/>
        <w:gridCol w:w="2560"/>
      </w:tblGrid>
      <w:tr w:rsidR="0079012B" w14:paraId="72E8D234" w14:textId="77777777">
        <w:trPr>
          <w:tblHeader/>
        </w:trPr>
        <w:tc>
          <w:tcPr>
            <w:tcW w:w="48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B849E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</w:p>
        </w:tc>
        <w:tc>
          <w:tcPr>
            <w:tcW w:w="200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B8520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Pedidos</w:t>
            </w:r>
          </w:p>
        </w:tc>
        <w:tc>
          <w:tcPr>
            <w:tcW w:w="2560" w:type="dxa"/>
            <w:shd w:val="clear" w:color="auto" w:fill="1B23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F13D6" w14:textId="77777777" w:rsidR="0079012B" w:rsidRDefault="00000000">
            <w:r>
              <w:rPr>
                <w:b/>
                <w:bCs/>
                <w:color w:val="FFFFFF"/>
                <w:sz w:val="19"/>
                <w:szCs w:val="19"/>
              </w:rPr>
              <w:t>Margem de Lucro</w:t>
            </w:r>
          </w:p>
        </w:tc>
      </w:tr>
      <w:tr w:rsidR="0079012B" w14:paraId="7F646262" w14:textId="77777777"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1072" w14:textId="77777777" w:rsidR="0079012B" w:rsidRDefault="00000000">
            <w:r>
              <w:rPr>
                <w:color w:val="262626"/>
                <w:sz w:val="19"/>
                <w:szCs w:val="19"/>
              </w:rPr>
              <w:t>Noel Staavos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D37C" w14:textId="77777777" w:rsidR="0079012B" w:rsidRDefault="00000000">
            <w:r>
              <w:rPr>
                <w:color w:val="262626"/>
                <w:sz w:val="19"/>
                <w:szCs w:val="19"/>
              </w:rPr>
              <w:t>13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0F5D" w14:textId="77777777" w:rsidR="0079012B" w:rsidRDefault="00000000">
            <w:r>
              <w:rPr>
                <w:color w:val="B3261E"/>
                <w:sz w:val="19"/>
                <w:szCs w:val="19"/>
              </w:rPr>
              <w:t>-7,9%</w:t>
            </w:r>
          </w:p>
        </w:tc>
      </w:tr>
      <w:tr w:rsidR="0079012B" w14:paraId="57C8E964" w14:textId="77777777">
        <w:tc>
          <w:tcPr>
            <w:tcW w:w="4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56B1" w14:textId="77777777" w:rsidR="0079012B" w:rsidRDefault="00000000">
            <w:r>
              <w:rPr>
                <w:color w:val="262626"/>
                <w:sz w:val="19"/>
                <w:szCs w:val="19"/>
              </w:rPr>
              <w:t>Erin Ashbrook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9F56" w14:textId="77777777" w:rsidR="0079012B" w:rsidRDefault="00000000">
            <w:r>
              <w:rPr>
                <w:color w:val="262626"/>
                <w:sz w:val="19"/>
                <w:szCs w:val="19"/>
              </w:rPr>
              <w:t>13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9AAF" w14:textId="77777777" w:rsidR="0079012B" w:rsidRDefault="00000000">
            <w:r>
              <w:rPr>
                <w:color w:val="B3261E"/>
                <w:sz w:val="19"/>
                <w:szCs w:val="19"/>
              </w:rPr>
              <w:t>-1,9%</w:t>
            </w:r>
          </w:p>
        </w:tc>
      </w:tr>
      <w:tr w:rsidR="0079012B" w14:paraId="4FE4BC3B" w14:textId="77777777"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758C" w14:textId="77777777" w:rsidR="0079012B" w:rsidRDefault="00000000">
            <w:r>
              <w:rPr>
                <w:color w:val="262626"/>
                <w:sz w:val="19"/>
                <w:szCs w:val="19"/>
              </w:rPr>
              <w:t>Emily Phan (Top 1 em pedidos)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5BFE" w14:textId="77777777" w:rsidR="0079012B" w:rsidRDefault="00000000">
            <w:r>
              <w:rPr>
                <w:color w:val="262626"/>
                <w:sz w:val="19"/>
                <w:szCs w:val="19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FAD6" w14:textId="77777777" w:rsidR="0079012B" w:rsidRDefault="00000000">
            <w:r>
              <w:rPr>
                <w:color w:val="B3261E"/>
                <w:sz w:val="19"/>
                <w:szCs w:val="19"/>
              </w:rPr>
              <w:t>2,6%</w:t>
            </w:r>
          </w:p>
        </w:tc>
      </w:tr>
    </w:tbl>
    <w:p w14:paraId="2ECE2912" w14:textId="77777777" w:rsidR="000F66FE" w:rsidRDefault="000F66FE">
      <w:pPr>
        <w:spacing w:after="160" w:line="276" w:lineRule="auto"/>
        <w:rPr>
          <w:color w:val="262626"/>
        </w:rPr>
      </w:pPr>
    </w:p>
    <w:p w14:paraId="15161122" w14:textId="2303F1D5" w:rsidR="0079012B" w:rsidRDefault="00000000">
      <w:pPr>
        <w:spacing w:after="160" w:line="276" w:lineRule="auto"/>
      </w:pPr>
      <w:r>
        <w:rPr>
          <w:color w:val="262626"/>
        </w:rPr>
        <w:t xml:space="preserve">Ao aplicar os filtros corretos no Power BI, foi possível identificar uma causa provável: Erin Ashbrook é o segundo cliente que mais faz pedidos com desconto acima de 20% </w:t>
      </w:r>
      <w:r w:rsidR="000F66FE">
        <w:rPr>
          <w:color w:val="262626"/>
        </w:rPr>
        <w:t>,</w:t>
      </w:r>
      <w:r>
        <w:rPr>
          <w:color w:val="262626"/>
        </w:rPr>
        <w:t xml:space="preserve"> faixa que, como mostrado na seção 4, está diretamente associada a margens negativas. Isso aponta para um padrão de concessão de desconto excessivo em contas de alto volume, e não necessariamente para um problema de produto ou de custo</w:t>
      </w:r>
      <w:r w:rsidR="00B166DA">
        <w:rPr>
          <w:color w:val="262626"/>
        </w:rPr>
        <w:t>, isso é algo que precisa ser investigado (hipótese)</w:t>
      </w:r>
      <w:r>
        <w:rPr>
          <w:color w:val="262626"/>
        </w:rPr>
        <w:t>.</w:t>
      </w:r>
    </w:p>
    <w:p w14:paraId="0A9BF5D5" w14:textId="77777777" w:rsidR="0079012B" w:rsidRDefault="00000000">
      <w:pPr>
        <w:pStyle w:val="Ttulo2"/>
        <w:spacing w:before="280" w:after="120"/>
      </w:pPr>
      <w:r>
        <w:rPr>
          <w:b/>
          <w:bCs/>
          <w:color w:val="2E6FD9"/>
          <w:sz w:val="24"/>
          <w:szCs w:val="24"/>
        </w:rPr>
        <w:t>9.1 Clientes de alta rentabilidade</w:t>
      </w:r>
    </w:p>
    <w:p w14:paraId="1C32B3DD" w14:textId="20289207" w:rsidR="0079012B" w:rsidRDefault="00000000">
      <w:pPr>
        <w:spacing w:after="160" w:line="276" w:lineRule="auto"/>
      </w:pPr>
      <w:r>
        <w:rPr>
          <w:color w:val="262626"/>
        </w:rPr>
        <w:t xml:space="preserve">Em contraste, há clientes com poucos pedidos e margem excelente: Jenna Caffey (1 pedido) e Tamara Chand (5 pedidos) lideram o ranking de margem, com aproximadamente 47% cada (Top 1 e Top 2). Raymond Buch também se destaca com ótimo lucro absoluto (R$ 6.976,09 </w:t>
      </w:r>
      <w:r w:rsidR="000F66FE">
        <w:rPr>
          <w:color w:val="262626"/>
        </w:rPr>
        <w:t xml:space="preserve">--- </w:t>
      </w:r>
      <w:r>
        <w:rPr>
          <w:color w:val="262626"/>
        </w:rPr>
        <w:t xml:space="preserve">2º lugar) e margem elevada (46,1% </w:t>
      </w:r>
      <w:r w:rsidR="000F66FE">
        <w:rPr>
          <w:color w:val="262626"/>
        </w:rPr>
        <w:t>----</w:t>
      </w:r>
      <w:r>
        <w:rPr>
          <w:color w:val="262626"/>
        </w:rPr>
        <w:t xml:space="preserve"> 3º lugar), combinando volume e rentabilidade.</w:t>
      </w:r>
    </w:p>
    <w:p w14:paraId="602AE3B3" w14:textId="77777777" w:rsidR="0079012B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06B5A9" wp14:editId="5D82F8B8">
            <wp:extent cx="5905500" cy="3636335"/>
            <wp:effectExtent l="0" t="0" r="0" b="2540"/>
            <wp:docPr id="624952726" name="Imagem 62495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2FA1" w14:textId="77777777" w:rsidR="0079012B" w:rsidRDefault="00000000">
      <w:pPr>
        <w:spacing w:before="60" w:after="260"/>
        <w:jc w:val="center"/>
      </w:pPr>
      <w:r>
        <w:rPr>
          <w:i/>
          <w:iCs/>
          <w:color w:val="595959"/>
          <w:sz w:val="18"/>
          <w:szCs w:val="18"/>
        </w:rPr>
        <w:t>Página 3 do dashboard — Clientes e pedidos (Power BI).</w:t>
      </w:r>
    </w:p>
    <w:tbl>
      <w:tblPr>
        <w:tblW w:w="5000" w:type="pct"/>
        <w:tblBorders>
          <w:top w:val="single" w:sz="4" w:space="0" w:color="1E7D4F"/>
          <w:left w:val="single" w:sz="24" w:space="0" w:color="1E7D4F"/>
          <w:bottom w:val="single" w:sz="4" w:space="0" w:color="1E7D4F"/>
          <w:right w:val="single" w:sz="4" w:space="0" w:color="1E7D4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79012B" w14:paraId="6A208EC5" w14:textId="77777777"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261904" w14:textId="77777777" w:rsidR="0079012B" w:rsidRDefault="00000000">
            <w:pPr>
              <w:spacing w:after="60"/>
            </w:pPr>
            <w:r>
              <w:rPr>
                <w:b/>
                <w:bCs/>
                <w:color w:val="1E7D4F"/>
              </w:rPr>
              <w:t>Oportunidade comercial</w:t>
            </w:r>
          </w:p>
          <w:p w14:paraId="5E9A8D03" w14:textId="77777777" w:rsidR="0079012B" w:rsidRDefault="00000000">
            <w:r>
              <w:rPr>
                <w:color w:val="262626"/>
                <w:sz w:val="20"/>
                <w:szCs w:val="20"/>
              </w:rPr>
              <w:t>Clientes com alta margem e bom histórico de pedidos (ex.: Raymond Buch, Tamara Chand) são candidatos naturais a ações de fidelização, como cupons ou campanhas publicitárias direcionadas, para aumentar a frequência de compra sem comprometer a rentabilidade.</w:t>
            </w:r>
          </w:p>
        </w:tc>
      </w:tr>
    </w:tbl>
    <w:p w14:paraId="7E11FDDE" w14:textId="4F76EAFD" w:rsidR="0079012B" w:rsidRDefault="0079012B"/>
    <w:p w14:paraId="48FFDBB1" w14:textId="77777777" w:rsidR="000F66FE" w:rsidRDefault="000F66FE"/>
    <w:p w14:paraId="134539D8" w14:textId="77777777" w:rsidR="0079012B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t>10. Síntese e Recomendações</w:t>
      </w:r>
    </w:p>
    <w:p w14:paraId="61C8C140" w14:textId="77777777" w:rsidR="0079012B" w:rsidRDefault="00000000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>Revisar a política de descontos acima de 20%, faixa responsável por prejuízo de R$ 135.376,44 em apenas ~10% dos pedidos.</w:t>
      </w:r>
    </w:p>
    <w:p w14:paraId="6DAA8D6A" w14:textId="77777777" w:rsidR="0079012B" w:rsidRDefault="00000000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>Restringir ou eliminar descontos para as subcategorias Tables, Bookcases e Supplies, hoje deficitárias mesmo sem considerar descontos adicionais.</w:t>
      </w:r>
    </w:p>
    <w:p w14:paraId="42FFFB31" w14:textId="77777777" w:rsidR="0079012B" w:rsidRDefault="00000000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>Investigar a concessão de desconto em contas de alto volume e baixa margem, como Erin Ashbrook e Noel Staavos, antes de tratá-los apenas como 'bons clientes' pelo número de pedidos.</w:t>
      </w:r>
    </w:p>
    <w:p w14:paraId="71545EFD" w14:textId="77777777" w:rsidR="0079012B" w:rsidRPr="008B6CB3" w:rsidRDefault="00000000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>Criar ações comerciais (cupons, ofertas segmentadas) voltadas aos clientes de alta margem, como Raymond Buch e Tamara Chand, para aumentar sua frequência de compra.</w:t>
      </w:r>
    </w:p>
    <w:p w14:paraId="78747250" w14:textId="0B15CA67" w:rsidR="008B6CB3" w:rsidRDefault="00B166DA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 xml:space="preserve">Hipótese para investigar: </w:t>
      </w:r>
      <w:r w:rsidR="008B6CB3">
        <w:rPr>
          <w:color w:val="262626"/>
        </w:rPr>
        <w:t>Investir em tráfego pago para buscar novos clientes que possuem perfil parecido com clientes de alta margem de lucro.</w:t>
      </w:r>
    </w:p>
    <w:p w14:paraId="4CCD0818" w14:textId="26D9034A" w:rsidR="0079012B" w:rsidRDefault="00B166DA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lastRenderedPageBreak/>
        <w:t xml:space="preserve">Hipótese para investigar: </w:t>
      </w:r>
      <w:r w:rsidR="00000000">
        <w:rPr>
          <w:color w:val="262626"/>
        </w:rPr>
        <w:t>Aproveitar a janela de alta margem de Fevereiro</w:t>
      </w:r>
      <w:r w:rsidR="008B6CB3">
        <w:rPr>
          <w:color w:val="262626"/>
        </w:rPr>
        <w:t xml:space="preserve">, </w:t>
      </w:r>
      <w:r w:rsidR="00000000">
        <w:rPr>
          <w:color w:val="262626"/>
        </w:rPr>
        <w:t>mesmo com faturamento baixo</w:t>
      </w:r>
      <w:r w:rsidR="008B6CB3">
        <w:rPr>
          <w:color w:val="262626"/>
        </w:rPr>
        <w:t>,</w:t>
      </w:r>
      <w:r w:rsidR="00000000">
        <w:rPr>
          <w:color w:val="262626"/>
        </w:rPr>
        <w:t xml:space="preserve"> para campanhas de produtos de maior rentabilidade (Labels, Paper, Envelopes).</w:t>
      </w:r>
    </w:p>
    <w:p w14:paraId="70BC680B" w14:textId="77777777" w:rsidR="0079012B" w:rsidRDefault="00000000">
      <w:pPr>
        <w:pStyle w:val="PargrafodaLista"/>
        <w:numPr>
          <w:ilvl w:val="0"/>
          <w:numId w:val="1"/>
        </w:numPr>
        <w:spacing w:after="90" w:line="270" w:lineRule="auto"/>
      </w:pPr>
      <w:r>
        <w:rPr>
          <w:color w:val="262626"/>
        </w:rPr>
        <w:t>Usar sempre lucro e margem, nunca apenas quantidade vendida, como critério central nas decisões de sortimento e precificação, dado o padrão recorrente de produtos muito vendidos e pouco (ou nada) lucrativos.</w:t>
      </w:r>
    </w:p>
    <w:p w14:paraId="06F05A59" w14:textId="048C8F2D" w:rsidR="0079012B" w:rsidRPr="008B6CB3" w:rsidRDefault="0079012B">
      <w:pPr>
        <w:spacing w:before="400"/>
        <w:rPr>
          <w:u w:val="single"/>
        </w:rPr>
      </w:pPr>
    </w:p>
    <w:sectPr w:rsidR="0079012B" w:rsidRPr="008B6CB3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BB3A8" w14:textId="77777777" w:rsidR="00610544" w:rsidRDefault="00610544">
      <w:r>
        <w:separator/>
      </w:r>
    </w:p>
  </w:endnote>
  <w:endnote w:type="continuationSeparator" w:id="0">
    <w:p w14:paraId="250D4672" w14:textId="77777777" w:rsidR="00610544" w:rsidRDefault="00610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8A44A" w14:textId="77777777" w:rsidR="0079012B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F66F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F66F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99973" w14:textId="77777777" w:rsidR="00610544" w:rsidRDefault="00610544">
      <w:r>
        <w:separator/>
      </w:r>
    </w:p>
  </w:footnote>
  <w:footnote w:type="continuationSeparator" w:id="0">
    <w:p w14:paraId="03DD0800" w14:textId="77777777" w:rsidR="00610544" w:rsidRDefault="00610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52690" w14:textId="77777777" w:rsidR="007901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Retail Sales &amp; Profitability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3008B"/>
    <w:multiLevelType w:val="hybridMultilevel"/>
    <w:tmpl w:val="1D104C9A"/>
    <w:lvl w:ilvl="0" w:tplc="45F40CFE">
      <w:start w:val="1"/>
      <w:numFmt w:val="bullet"/>
      <w:lvlText w:val="●"/>
      <w:lvlJc w:val="left"/>
      <w:pPr>
        <w:ind w:left="720" w:hanging="360"/>
      </w:pPr>
    </w:lvl>
    <w:lvl w:ilvl="1" w:tplc="B8284A1A">
      <w:start w:val="1"/>
      <w:numFmt w:val="bullet"/>
      <w:lvlText w:val="○"/>
      <w:lvlJc w:val="left"/>
      <w:pPr>
        <w:ind w:left="1440" w:hanging="360"/>
      </w:pPr>
    </w:lvl>
    <w:lvl w:ilvl="2" w:tplc="2B025D06">
      <w:start w:val="1"/>
      <w:numFmt w:val="bullet"/>
      <w:lvlText w:val="■"/>
      <w:lvlJc w:val="left"/>
      <w:pPr>
        <w:ind w:left="2160" w:hanging="360"/>
      </w:pPr>
    </w:lvl>
    <w:lvl w:ilvl="3" w:tplc="25AEE452">
      <w:start w:val="1"/>
      <w:numFmt w:val="bullet"/>
      <w:lvlText w:val="●"/>
      <w:lvlJc w:val="left"/>
      <w:pPr>
        <w:ind w:left="2880" w:hanging="360"/>
      </w:pPr>
    </w:lvl>
    <w:lvl w:ilvl="4" w:tplc="AD24BB64">
      <w:start w:val="1"/>
      <w:numFmt w:val="bullet"/>
      <w:lvlText w:val="○"/>
      <w:lvlJc w:val="left"/>
      <w:pPr>
        <w:ind w:left="3600" w:hanging="360"/>
      </w:pPr>
    </w:lvl>
    <w:lvl w:ilvl="5" w:tplc="63DC7EDE">
      <w:start w:val="1"/>
      <w:numFmt w:val="bullet"/>
      <w:lvlText w:val="■"/>
      <w:lvlJc w:val="left"/>
      <w:pPr>
        <w:ind w:left="4320" w:hanging="360"/>
      </w:pPr>
    </w:lvl>
    <w:lvl w:ilvl="6" w:tplc="6D222DE6">
      <w:start w:val="1"/>
      <w:numFmt w:val="bullet"/>
      <w:lvlText w:val="●"/>
      <w:lvlJc w:val="left"/>
      <w:pPr>
        <w:ind w:left="5040" w:hanging="360"/>
      </w:pPr>
    </w:lvl>
    <w:lvl w:ilvl="7" w:tplc="2ED61D3C">
      <w:start w:val="1"/>
      <w:numFmt w:val="bullet"/>
      <w:lvlText w:val="●"/>
      <w:lvlJc w:val="left"/>
      <w:pPr>
        <w:ind w:left="5760" w:hanging="360"/>
      </w:pPr>
    </w:lvl>
    <w:lvl w:ilvl="8" w:tplc="F57E68B2">
      <w:start w:val="1"/>
      <w:numFmt w:val="bullet"/>
      <w:lvlText w:val="●"/>
      <w:lvlJc w:val="left"/>
      <w:pPr>
        <w:ind w:left="6480" w:hanging="360"/>
      </w:pPr>
    </w:lvl>
  </w:abstractNum>
  <w:num w:numId="1" w16cid:durableId="1049761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2B"/>
    <w:rsid w:val="000F66FE"/>
    <w:rsid w:val="00325B6D"/>
    <w:rsid w:val="00610544"/>
    <w:rsid w:val="0079012B"/>
    <w:rsid w:val="007B7F04"/>
    <w:rsid w:val="00865193"/>
    <w:rsid w:val="008B6CB3"/>
    <w:rsid w:val="008C5970"/>
    <w:rsid w:val="00B166DA"/>
    <w:rsid w:val="00C43CC7"/>
    <w:rsid w:val="00D90982"/>
    <w:rsid w:val="00D9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3951"/>
  <w15:docId w15:val="{FB415B45-2985-41C7-BC17-8B30A0CE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90E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90E5D"/>
  </w:style>
  <w:style w:type="paragraph" w:styleId="Rodap">
    <w:name w:val="footer"/>
    <w:basedOn w:val="Normal"/>
    <w:link w:val="RodapChar"/>
    <w:uiPriority w:val="99"/>
    <w:unhideWhenUsed/>
    <w:rsid w:val="00D90E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9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1640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 Mota Gomes</cp:lastModifiedBy>
  <cp:revision>6</cp:revision>
  <dcterms:created xsi:type="dcterms:W3CDTF">2026-10-14T13:59:00Z</dcterms:created>
  <dcterms:modified xsi:type="dcterms:W3CDTF">2026-10-15T15:56:00Z</dcterms:modified>
</cp:coreProperties>
</file>