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QUYẾT ĐỊNH BAN HÀNH</w:t>
      </w:r>
      <w:r>
        <w:br/>
      </w:r>
      <w:r>
        <w:rPr>
          <w:b w:val="0"/>
          <w:i w:val="0"/>
        </w:rPr>
        <w:t>NỘI QUY LAO ĐỘNG</w:t>
      </w:r>
    </w:p>
    <w:p>
      <w:pPr>
        <w:pStyle w:val="Subtitle"/>
      </w:pPr>
      <w:r>
        <w:rPr>
          <w:b w:val="0"/>
          <w:i w:val="0"/>
        </w:rPr>
        <w:t>Mẫu QDNQ-01 · Đi kèm Nội quy lao động NQLD-01</w:t>
      </w: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TRẠNG THÁI</w:t>
            </w:r>
            <w:r>
              <w:br/>
            </w:r>
            <w:r>
              <w:rPr>
                <w:b w:val="0"/>
                <w:i w:val="0"/>
                <w:sz w:val="18"/>
              </w:rPr>
              <w:t>MẪU HOÀN THIỆN – chưa phải bản ban hành. Rà soát, điền đầy đủ và trình cấp có thẩm quyền ký trước khi sử dụng. Mã kiểm soát: QDNQ-01. Đi kèm Nội quy lao động NQLD-01.</w:t>
            </w:r>
          </w:p>
        </w:tc>
      </w:tr>
    </w:tbl>
    <w:p>
      <w:pPr>
        <w:spacing w:after="80"/>
      </w:pP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CÁCH DÙNG BẢN MẪU</w:t>
            </w:r>
            <w:r>
              <w:br/>
            </w:r>
            <w:r>
              <w:rPr>
                <w:b w:val="0"/>
                <w:i w:val="0"/>
                <w:sz w:val="18"/>
              </w:rPr>
              <w:t xml:space="preserve">Phần trong ngoặc vuông </w:t>
            </w:r>
            <w:r>
              <w:rPr>
                <w:b w:val="0"/>
                <w:i w:val="0"/>
                <w:sz w:val="18"/>
              </w:rPr>
              <w:t>[ ]</w:t>
            </w:r>
            <w:r>
              <w:rPr>
                <w:b w:val="0"/>
                <w:i w:val="0"/>
                <w:sz w:val="18"/>
              </w:rPr>
              <w:t xml:space="preserve"> là nội dung phải điền hoặc lựa chọn; xóa phần bôi vàng sau khi hoàn thiện. Phần in nghiêng màu xám là hướng dẫn, phải xóa trước khi ký ban hành.</w:t>
            </w:r>
          </w:p>
        </w:tc>
      </w:tr>
    </w:tbl>
    <w:p>
      <w:pPr>
        <w:spacing w:after="80"/>
      </w:pPr>
    </w:p>
    <w:tbl>
      <w:tblPr>
        <w:tblW w:type="auto" w:w="0"/>
        <w:jc w:val="center"/>
        <w:tblLayout w:type="fixed"/>
        <w:tblLook w:firstColumn="1" w:firstRow="1" w:lastColumn="0" w:lastRow="0" w:noHBand="0" w:noVBand="1" w:val="04A0"/>
      </w:tblPr>
      <w:tblGrid>
        <w:gridCol w:w="3742"/>
        <w:gridCol w:w="5613"/>
      </w:tblGrid>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color w:val="17324D"/>
                <w:sz w:val="19"/>
                <w:highlight w:val="yellow"/>
              </w:rPr>
              <w:t>[TÊN DOANH NGHIỆP]</w:t>
            </w: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sz w:val="20"/>
              </w:rPr>
              <w:t>CỘNG HÒA XÃ HỘI CHỦ NGHĨA VIỆT NAM</w:t>
            </w:r>
          </w:p>
        </w:tc>
      </w:tr>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r>
              <w:rPr>
                <w:b w:val="0"/>
                <w:i w:val="0"/>
                <w:sz w:val="19"/>
              </w:rPr>
              <w:t xml:space="preserve">Số: </w:t>
            </w:r>
            <w:r>
              <w:rPr>
                <w:b w:val="0"/>
                <w:i w:val="0"/>
                <w:sz w:val="19"/>
                <w:highlight w:val="yellow"/>
              </w:rPr>
              <w:t>[SỐ]</w:t>
            </w:r>
            <w:r>
              <w:rPr>
                <w:b w:val="0"/>
                <w:i w:val="0"/>
                <w:sz w:val="19"/>
              </w:rPr>
              <w:t>/</w:t>
            </w:r>
            <w:r>
              <w:rPr>
                <w:b w:val="0"/>
                <w:i w:val="0"/>
                <w:sz w:val="19"/>
                <w:highlight w:val="yellow"/>
              </w:rPr>
              <w:t>[NĂM]</w:t>
            </w:r>
            <w:r>
              <w:rPr>
                <w:b w:val="0"/>
                <w:i w:val="0"/>
                <w:sz w:val="19"/>
              </w:rPr>
              <w:t>/QĐ-</w:t>
            </w:r>
            <w:r>
              <w:rPr>
                <w:b w:val="0"/>
                <w:i w:val="0"/>
                <w:sz w:val="19"/>
                <w:highlight w:val="yellow"/>
              </w:rPr>
              <w:t>[VIẾT TẮT DN]</w:t>
            </w: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sz w:val="19"/>
              </w:rPr>
              <w:t>Độc lập – Tự do – Hạnh phúc</w:t>
            </w:r>
          </w:p>
        </w:tc>
      </w:tr>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val="0"/>
                <w:i/>
                <w:sz w:val="19"/>
                <w:highlight w:val="yellow"/>
              </w:rPr>
              <w:t>[ĐỊA DANH]</w:t>
            </w:r>
            <w:r>
              <w:rPr>
                <w:b w:val="0"/>
                <w:i/>
                <w:sz w:val="19"/>
              </w:rPr>
              <w:t xml:space="preserve">, ngày </w:t>
            </w:r>
            <w:r>
              <w:rPr>
                <w:b w:val="0"/>
                <w:i/>
                <w:sz w:val="19"/>
                <w:highlight w:val="yellow"/>
              </w:rPr>
              <w:t>[NGÀY]</w:t>
            </w:r>
            <w:r>
              <w:rPr>
                <w:b w:val="0"/>
                <w:i/>
                <w:sz w:val="19"/>
              </w:rPr>
              <w:t xml:space="preserve"> tháng </w:t>
            </w:r>
            <w:r>
              <w:rPr>
                <w:b w:val="0"/>
                <w:i/>
                <w:sz w:val="19"/>
                <w:highlight w:val="yellow"/>
              </w:rPr>
              <w:t>[THÁNG]</w:t>
            </w:r>
            <w:r>
              <w:rPr>
                <w:b w:val="0"/>
                <w:i/>
                <w:sz w:val="19"/>
              </w:rPr>
              <w:t xml:space="preserve"> năm </w:t>
            </w:r>
            <w:r>
              <w:rPr>
                <w:b w:val="0"/>
                <w:i/>
                <w:sz w:val="19"/>
                <w:highlight w:val="yellow"/>
              </w:rPr>
              <w:t>[NĂM]</w:t>
            </w:r>
          </w:p>
        </w:tc>
      </w:tr>
    </w:tbl>
    <w:p>
      <w:pPr>
        <w:spacing w:after="40"/>
      </w:pPr>
    </w:p>
    <w:p>
      <w:pPr>
        <w:spacing w:after="40" w:before="200"/>
        <w:jc w:val="center"/>
      </w:pPr>
      <w:r>
        <w:rPr>
          <w:b/>
          <w:i w:val="0"/>
          <w:color w:val="17324D"/>
          <w:sz w:val="28"/>
        </w:rPr>
        <w:t>QUYẾT ĐỊNH</w:t>
      </w:r>
    </w:p>
    <w:p>
      <w:pPr>
        <w:spacing w:after="200"/>
        <w:jc w:val="center"/>
      </w:pPr>
      <w:r>
        <w:rPr>
          <w:b/>
          <w:i w:val="0"/>
          <w:sz w:val="22"/>
        </w:rPr>
        <w:t xml:space="preserve">Về việc ban hành Nội quy lao động của </w:t>
      </w:r>
      <w:r>
        <w:rPr>
          <w:b/>
          <w:i w:val="0"/>
          <w:sz w:val="22"/>
          <w:highlight w:val="yellow"/>
        </w:rPr>
        <w:t>[TÊN DOANH NGHIỆP]</w:t>
      </w:r>
    </w:p>
    <w:p>
      <w:pPr>
        <w:spacing w:after="160"/>
        <w:jc w:val="center"/>
      </w:pPr>
      <w:r>
        <w:rPr>
          <w:b/>
          <w:i w:val="0"/>
          <w:sz w:val="22"/>
          <w:highlight w:val="yellow"/>
        </w:rPr>
        <w:t>[CHỨC DANH NGƯỜI CÓ THẨM QUYỀN – VÍ DỤ: TỔNG GIÁM ĐỐC/GIÁM ĐỐC]</w:t>
      </w:r>
      <w:r>
        <w:rPr>
          <w:b/>
          <w:i w:val="0"/>
          <w:sz w:val="22"/>
        </w:rPr>
        <w:t xml:space="preserve"> </w:t>
      </w:r>
      <w:r>
        <w:rPr>
          <w:b/>
          <w:i w:val="0"/>
          <w:sz w:val="22"/>
          <w:highlight w:val="yellow"/>
        </w:rPr>
        <w:t>[TÊN DOANH NGHIỆP]</w:t>
      </w:r>
    </w:p>
    <w:p>
      <w:pPr>
        <w:spacing w:after="80"/>
      </w:pPr>
      <w:r>
        <w:rPr>
          <w:b w:val="0"/>
          <w:i w:val="0"/>
        </w:rPr>
        <w:t>Căn cứ Bộ luật Lao động số 45/2019/QH14 ngày 20/11/2019, đặc biệt là các Điều 118, 119, 120 và 121;</w:t>
      </w:r>
    </w:p>
    <w:p>
      <w:pPr>
        <w:spacing w:after="80"/>
      </w:pPr>
      <w:r>
        <w:rPr>
          <w:b w:val="0"/>
          <w:i w:val="0"/>
        </w:rPr>
        <w:t>Căn cứ Nghị định số 145/2020/NĐ-CP ngày 14/12/2020 của Chính phủ quy định chi tiết và hướng dẫn thi hành một số điều của Bộ luật Lao động về điều kiện lao động và quan hệ lao động, cùng các văn bản sửa đổi, bổ sung, phân định thẩm quyền có liên quan;</w:t>
      </w:r>
    </w:p>
    <w:p>
      <w:pPr>
        <w:spacing w:after="80"/>
      </w:pPr>
      <w:r>
        <w:rPr>
          <w:b w:val="0"/>
          <w:i w:val="0"/>
        </w:rPr>
        <w:t>Căn cứ Luật An toàn, vệ sinh lao động số 84/2015/QH13 và Luật Bảo vệ dữ liệu cá nhân số 91/2025/QH15;</w:t>
      </w:r>
    </w:p>
    <w:p>
      <w:pPr>
        <w:spacing w:after="80"/>
      </w:pPr>
      <w:r>
        <w:rPr>
          <w:b w:val="0"/>
          <w:i w:val="0"/>
        </w:rPr>
        <w:t xml:space="preserve">Căn cứ Điều lệ </w:t>
      </w:r>
      <w:r>
        <w:rPr>
          <w:b w:val="0"/>
          <w:i w:val="0"/>
          <w:highlight w:val="yellow"/>
        </w:rPr>
        <w:t>[TÊN DOANH NGHIỆP]</w:t>
      </w:r>
      <w:r>
        <w:rPr>
          <w:b w:val="0"/>
          <w:i w:val="0"/>
        </w:rPr>
        <w:t xml:space="preserve"> và </w:t>
      </w:r>
      <w:r>
        <w:rPr>
          <w:b w:val="0"/>
          <w:i w:val="0"/>
          <w:highlight w:val="yellow"/>
        </w:rPr>
        <w:t>[QUYẾT ĐỊNH/VĂN BẢN PHÂN CÔNG THẨM QUYỀN, NẾU CÓ]</w:t>
      </w:r>
      <w:r>
        <w:rPr>
          <w:b w:val="0"/>
          <w:i w:val="0"/>
        </w:rPr>
        <w:t>;</w:t>
      </w:r>
    </w:p>
    <w:p>
      <w:pPr>
        <w:spacing w:after="80"/>
      </w:pPr>
      <w:r>
        <w:rPr>
          <w:b w:val="0"/>
          <w:i w:val="0"/>
        </w:rPr>
        <w:t xml:space="preserve">Căn cứ Văn bản góp ý số </w:t>
      </w:r>
      <w:r>
        <w:rPr>
          <w:b w:val="0"/>
          <w:i w:val="0"/>
          <w:highlight w:val="yellow"/>
        </w:rPr>
        <w:t>[SỐ]</w:t>
      </w:r>
      <w:r>
        <w:rPr>
          <w:b w:val="0"/>
          <w:i w:val="0"/>
        </w:rPr>
        <w:t xml:space="preserve"> ngày </w:t>
      </w:r>
      <w:r>
        <w:rPr>
          <w:b w:val="0"/>
          <w:i w:val="0"/>
          <w:highlight w:val="yellow"/>
        </w:rPr>
        <w:t>[DD/MM/YYYY]</w:t>
      </w:r>
      <w:r>
        <w:rPr>
          <w:b w:val="0"/>
          <w:i w:val="0"/>
        </w:rPr>
        <w:t xml:space="preserve"> của </w:t>
      </w:r>
      <w:r>
        <w:rPr>
          <w:b w:val="0"/>
          <w:i w:val="0"/>
          <w:highlight w:val="yellow"/>
        </w:rPr>
        <w:t>[TÊN TỔ CHỨC ĐẠI DIỆN NGƯỜI LAO ĐỘNG TẠI CƠ SỞ]</w:t>
      </w:r>
      <w:r>
        <w:rPr>
          <w:b w:val="0"/>
          <w:i w:val="0"/>
        </w:rPr>
        <w:t xml:space="preserve"> và Biên bản họp lấy ý kiến ngày </w:t>
      </w:r>
      <w:r>
        <w:rPr>
          <w:b w:val="0"/>
          <w:i w:val="0"/>
          <w:highlight w:val="yellow"/>
        </w:rPr>
        <w:t>[DD/MM/YYYY]</w:t>
      </w:r>
      <w:r>
        <w:rPr>
          <w:b w:val="0"/>
          <w:i w:val="0"/>
        </w:rPr>
        <w:t xml:space="preserve"> [HOẶC: Căn cứ kết quả tham khảo ý kiến người lao động ngày </w:t>
      </w:r>
      <w:r>
        <w:rPr>
          <w:b w:val="0"/>
          <w:i w:val="0"/>
          <w:highlight w:val="yellow"/>
        </w:rPr>
        <w:t>[DD/MM/YYYY]</w:t>
      </w:r>
      <w:r>
        <w:rPr>
          <w:b w:val="0"/>
          <w:i w:val="0"/>
        </w:rPr>
        <w:t xml:space="preserve"> do tại doanh nghiệp không có tổ chức đại diện người lao động tại cơ sở];</w:t>
      </w:r>
    </w:p>
    <w:p>
      <w:pPr>
        <w:spacing w:after="80"/>
      </w:pPr>
      <w:r>
        <w:rPr>
          <w:b w:val="0"/>
          <w:i w:val="0"/>
        </w:rPr>
        <w:t xml:space="preserve">Xét đề nghị của </w:t>
      </w:r>
      <w:r>
        <w:rPr>
          <w:b w:val="0"/>
          <w:i w:val="0"/>
          <w:highlight w:val="yellow"/>
        </w:rPr>
        <w:t>[CHỨC DANH – VÍ DỤ: TRƯỞNG PHÒNG NHÂN SỰ]</w:t>
      </w:r>
      <w:r>
        <w:rPr>
          <w:b w:val="0"/>
          <w:i w:val="0"/>
        </w:rPr>
        <w:t>,</w:t>
      </w:r>
    </w:p>
    <w:p>
      <w:pPr>
        <w:spacing w:after="160" w:before="200"/>
        <w:jc w:val="center"/>
      </w:pPr>
      <w:r>
        <w:rPr>
          <w:b/>
          <w:i w:val="0"/>
          <w:color w:val="17324D"/>
          <w:sz w:val="24"/>
        </w:rPr>
        <w:t>QUYẾT ĐỊNH:</w:t>
      </w:r>
    </w:p>
    <w:p>
      <w:pPr>
        <w:pStyle w:val="Article"/>
      </w:pPr>
      <w:r>
        <w:rPr>
          <w:b w:val="0"/>
          <w:i w:val="0"/>
        </w:rPr>
        <w:t>Điều 1. Ban hành Nội quy lao động</w:t>
      </w:r>
    </w:p>
    <w:p>
      <w:r>
        <w:rPr>
          <w:b w:val="0"/>
          <w:i w:val="0"/>
        </w:rPr>
        <w:t xml:space="preserve">Ban hành kèm theo Quyết định này Nội quy lao động của </w:t>
      </w:r>
      <w:r>
        <w:rPr>
          <w:b w:val="0"/>
          <w:i w:val="0"/>
          <w:highlight w:val="yellow"/>
        </w:rPr>
        <w:t>[TÊN DOANH NGHIỆP]</w:t>
      </w:r>
      <w:r>
        <w:rPr>
          <w:b w:val="0"/>
          <w:i w:val="0"/>
        </w:rPr>
        <w:t xml:space="preserve">, mã kiểm soát NQLD-01, phiên bản </w:t>
      </w:r>
      <w:r>
        <w:rPr>
          <w:b w:val="0"/>
          <w:i w:val="0"/>
          <w:highlight w:val="yellow"/>
        </w:rPr>
        <w:t>[v1.0]</w:t>
      </w:r>
      <w:r>
        <w:rPr>
          <w:b w:val="0"/>
          <w:i w:val="0"/>
        </w:rPr>
        <w:t xml:space="preserve">, gồm </w:t>
      </w:r>
      <w:r>
        <w:rPr>
          <w:b w:val="0"/>
          <w:i w:val="0"/>
          <w:highlight w:val="yellow"/>
        </w:rPr>
        <w:t>[SỐ]</w:t>
      </w:r>
      <w:r>
        <w:rPr>
          <w:b w:val="0"/>
          <w:i w:val="0"/>
        </w:rPr>
        <w:t xml:space="preserve"> chương, </w:t>
      </w:r>
      <w:r>
        <w:rPr>
          <w:b w:val="0"/>
          <w:i w:val="0"/>
          <w:highlight w:val="yellow"/>
        </w:rPr>
        <w:t>[SỐ]</w:t>
      </w:r>
      <w:r>
        <w:rPr>
          <w:b w:val="0"/>
          <w:i w:val="0"/>
        </w:rPr>
        <w:t xml:space="preserve"> điều và </w:t>
      </w:r>
      <w:r>
        <w:rPr>
          <w:b w:val="0"/>
          <w:i w:val="0"/>
          <w:highlight w:val="yellow"/>
        </w:rPr>
        <w:t>[SỐ]</w:t>
      </w:r>
      <w:r>
        <w:rPr>
          <w:b w:val="0"/>
          <w:i w:val="0"/>
        </w:rPr>
        <w:t xml:space="preserve"> phụ lục. Các phụ lục là bộ phận không tách rời của Nội quy lao động.</w:t>
      </w:r>
    </w:p>
    <w:p>
      <w:pPr>
        <w:pStyle w:val="Article"/>
      </w:pPr>
      <w:r>
        <w:rPr>
          <w:b w:val="0"/>
          <w:i w:val="0"/>
        </w:rPr>
        <w:t>Điều 2. Đối tượng áp dụng</w:t>
      </w:r>
    </w:p>
    <w:p>
      <w:r>
        <w:rPr>
          <w:b w:val="0"/>
          <w:i w:val="0"/>
        </w:rPr>
        <w:t>Nội quy lao động áp dụng đối với toàn bộ người lao động làm việc theo hợp đồng lao động tại trụ sở chính, chi nhánh, văn phòng đại diện, địa điểm sản xuất, kinh doanh và các địa điểm làm việc khác của Công ty. Người thử việc, người học nghề, tập nghề, thực tập sinh, nhà thầu, khách và người khác có mặt tại nơi làm việc tuân thủ các quy định về trật tự, an toàn, bảo mật và bảo vệ tài sản trong phạm vi liên quan.</w:t>
      </w:r>
    </w:p>
    <w:p>
      <w:pPr>
        <w:pStyle w:val="Article"/>
      </w:pPr>
      <w:r>
        <w:rPr>
          <w:b w:val="0"/>
          <w:i w:val="0"/>
        </w:rPr>
        <w:t>Điều 3. Đăng ký nội quy lao động</w:t>
      </w:r>
    </w:p>
    <w:p>
      <w:r>
        <w:rPr>
          <w:b w:val="0"/>
          <w:i w:val="0"/>
        </w:rPr>
        <w:t xml:space="preserve">Giao </w:t>
      </w:r>
      <w:r>
        <w:rPr>
          <w:b w:val="0"/>
          <w:i w:val="0"/>
          <w:highlight w:val="yellow"/>
        </w:rPr>
        <w:t>[PHÒNG NHÂN SỰ/PHÁP CHẾ]</w:t>
      </w:r>
      <w:r>
        <w:rPr>
          <w:b w:val="0"/>
          <w:i w:val="0"/>
        </w:rPr>
        <w:t xml:space="preserve"> chủ trì lập và nộp 01 bộ hồ sơ đăng ký Nội quy lao động đến cơ quan chuyên môn về nội vụ thuộc Ủy ban nhân dân cấp tỉnh </w:t>
      </w:r>
      <w:r>
        <w:rPr>
          <w:b w:val="0"/>
          <w:i w:val="0"/>
          <w:highlight w:val="yellow"/>
        </w:rPr>
        <w:t>[TỈNH/THÀNH PHỐ]</w:t>
      </w:r>
      <w:r>
        <w:rPr>
          <w:b w:val="0"/>
          <w:i w:val="0"/>
        </w:rPr>
        <w:t xml:space="preserve"> trong thời hạn 10 ngày kể từ ngày ban hành Quyết định này, theo Điều 119 và Điều 120 Bộ luật Lao động; theo dõi kết quả xử lý hồ sơ và thực hiện việc sửa đổi, bổ sung, đăng ký lại nếu cơ quan có thẩm quyền có thông báo.</w:t>
      </w:r>
    </w:p>
    <w:p>
      <w:r>
        <w:rPr>
          <w:b w:val="0"/>
          <w:i w:val="0"/>
        </w:rPr>
        <w:t>Trường hợp Công ty có chi nhánh, đơn vị, cơ sở sản xuất, kinh doanh đặt ở nhiều địa bàn khác nhau, gửi Nội quy lao động đã được đăng ký đến cơ quan có thẩm quyền nơi đặt chi nhánh, đơn vị, cơ sở đó.</w:t>
      </w:r>
    </w:p>
    <w:p>
      <w:pPr>
        <w:pStyle w:val="Article"/>
      </w:pPr>
      <w:r>
        <w:rPr>
          <w:b w:val="0"/>
          <w:i w:val="0"/>
        </w:rPr>
        <w:t>Điều 4. Hiệu lực thi hành</w:t>
      </w:r>
    </w:p>
    <w:p>
      <w:r>
        <w:rPr>
          <w:b w:val="0"/>
          <w:i w:val="0"/>
        </w:rPr>
        <w:t>1. Quyết định này có hiệu lực kể từ ngày ký.</w:t>
      </w:r>
    </w:p>
    <w:p>
      <w:r>
        <w:rPr>
          <w:b w:val="0"/>
          <w:i w:val="0"/>
        </w:rPr>
        <w:t xml:space="preserve">2. Nội quy lao động ban hành kèm theo Quyết định này có hiệu lực sau 15 ngày kể từ ngày cơ quan nhà nước có thẩm quyền nhận được đầy đủ hồ sơ đăng ký nội quy lao động, theo Điều 121 Bộ luật Lao động. Ngày có hiệu lực cụ thể được </w:t>
      </w:r>
      <w:r>
        <w:rPr>
          <w:b w:val="0"/>
          <w:i w:val="0"/>
          <w:highlight w:val="yellow"/>
        </w:rPr>
        <w:t>[PHÒNG NHÂN SỰ]</w:t>
      </w:r>
      <w:r>
        <w:rPr>
          <w:b w:val="0"/>
          <w:i w:val="0"/>
        </w:rPr>
        <w:t xml:space="preserve"> thông báo bằng văn bản đến toàn thể người lao động.</w:t>
      </w:r>
    </w:p>
    <w:p>
      <w:r>
        <w:rPr>
          <w:b w:val="0"/>
          <w:i w:val="0"/>
        </w:rPr>
        <w:t xml:space="preserve">3. Kể từ ngày Nội quy lao động mới có hiệu lực, </w:t>
      </w:r>
      <w:r>
        <w:rPr>
          <w:b w:val="0"/>
          <w:i w:val="0"/>
          <w:highlight w:val="yellow"/>
        </w:rPr>
        <w:t>[NỘI QUY LAO ĐỘNG SỐ ... NGÀY .../ KHÔNG CÓ NỘI QUY TRƯỚC ĐÓ]</w:t>
      </w:r>
      <w:r>
        <w:rPr>
          <w:b w:val="0"/>
          <w:i w:val="0"/>
        </w:rPr>
        <w:t xml:space="preserve"> và các quy định nội bộ trái với Nội quy lao động này hết hiệu lực thi hành.</w:t>
      </w:r>
    </w:p>
    <w:p>
      <w:pPr>
        <w:pStyle w:val="Article"/>
      </w:pPr>
      <w:r>
        <w:rPr>
          <w:b w:val="0"/>
          <w:i w:val="0"/>
        </w:rPr>
        <w:t>Điều 5. Phổ biến và niêm yết</w:t>
      </w:r>
    </w:p>
    <w:p>
      <w:r>
        <w:rPr>
          <w:b w:val="0"/>
          <w:i w:val="0"/>
        </w:rPr>
        <w:t xml:space="preserve">Giao </w:t>
      </w:r>
      <w:r>
        <w:rPr>
          <w:b w:val="0"/>
          <w:i w:val="0"/>
          <w:highlight w:val="yellow"/>
        </w:rPr>
        <w:t>[PHÒNG NHÂN SỰ]</w:t>
      </w:r>
      <w:r>
        <w:rPr>
          <w:b w:val="0"/>
          <w:i w:val="0"/>
        </w:rPr>
        <w:t xml:space="preserve"> gửi Nội quy lao động đến từng tổ chức đại diện người lao động tại cơ sở (nếu có), thông báo đến toàn bộ người lao động, đăng tải trên </w:t>
      </w:r>
      <w:r>
        <w:rPr>
          <w:b w:val="0"/>
          <w:i w:val="0"/>
          <w:highlight w:val="yellow"/>
        </w:rPr>
        <w:t>[HỆ THỐNG NỘI BỘ]</w:t>
      </w:r>
      <w:r>
        <w:rPr>
          <w:b w:val="0"/>
          <w:i w:val="0"/>
        </w:rPr>
        <w:t xml:space="preserve"> và niêm yết những nội dung chính tại </w:t>
      </w:r>
      <w:r>
        <w:rPr>
          <w:b w:val="0"/>
          <w:i w:val="0"/>
          <w:highlight w:val="yellow"/>
        </w:rPr>
        <w:t>[CÁC VỊ TRÍ NIÊM YẾT]</w:t>
      </w:r>
      <w:r>
        <w:rPr>
          <w:b w:val="0"/>
          <w:i w:val="0"/>
        </w:rPr>
        <w:t xml:space="preserve"> ở nơi làm việc; lập biên bản niêm yết, phổ biến và lưu hồ sơ xác nhận của người lao động.</w:t>
      </w:r>
    </w:p>
    <w:p>
      <w:pPr>
        <w:pStyle w:val="Article"/>
      </w:pPr>
      <w:r>
        <w:rPr>
          <w:b w:val="0"/>
          <w:i w:val="0"/>
        </w:rPr>
        <w:t>Điều 6. Trách nhiệm thi hành</w:t>
      </w:r>
    </w:p>
    <w:p>
      <w:r>
        <w:rPr>
          <w:b w:val="0"/>
          <w:i w:val="0"/>
          <w:highlight w:val="yellow"/>
        </w:rPr>
        <w:t>[CHỨC DANH NGƯỜI ĐỨNG ĐẦU CÁC ĐƠN VỊ]</w:t>
      </w:r>
      <w:r>
        <w:rPr>
          <w:b w:val="0"/>
          <w:i w:val="0"/>
        </w:rPr>
        <w:t xml:space="preserve">, Trưởng các phòng, ban, bộ phận và toàn thể người lao động của </w:t>
      </w:r>
      <w:r>
        <w:rPr>
          <w:b w:val="0"/>
          <w:i w:val="0"/>
          <w:highlight w:val="yellow"/>
        </w:rPr>
        <w:t>[TÊN DOANH NGHIỆP]</w:t>
      </w:r>
      <w:r>
        <w:rPr>
          <w:b w:val="0"/>
          <w:i w:val="0"/>
        </w:rPr>
        <w:t xml:space="preserve"> chịu trách nhiệm thi hành Quyết định này./.</w:t>
      </w:r>
    </w:p>
    <w:p>
      <w:pPr>
        <w:spacing w:after="160"/>
      </w:pPr>
    </w:p>
    <w:p>
      <w:pPr>
        <w:pStyle w:val="SmallNote"/>
      </w:pPr>
      <w:r>
        <w:rPr>
          <w:b/>
          <w:i w:val="0"/>
          <w:color w:val="17324D"/>
          <w:sz w:val="18"/>
        </w:rPr>
        <w:t>Nơi nhận:</w:t>
      </w:r>
    </w:p>
    <w:p>
      <w:pPr>
        <w:pStyle w:val="SmallNote"/>
        <w:spacing w:after="0"/>
        <w:ind w:left="170"/>
      </w:pPr>
      <w:r>
        <w:rPr>
          <w:b w:val="0"/>
          <w:i w:val="0"/>
          <w:sz w:val="17"/>
        </w:rPr>
        <w:t>- Như Điều 6 (để thực hiện);</w:t>
      </w:r>
    </w:p>
    <w:p>
      <w:pPr>
        <w:pStyle w:val="SmallNote"/>
        <w:spacing w:after="0"/>
        <w:ind w:left="170"/>
      </w:pPr>
      <w:r>
        <w:rPr>
          <w:b w:val="0"/>
          <w:i w:val="0"/>
          <w:sz w:val="17"/>
        </w:rPr>
        <w:t xml:space="preserve">- Cơ quan chuyên môn về nội vụ thuộc ủy ban nhân dân cấp tỉnh </w:t>
      </w:r>
      <w:r>
        <w:rPr>
          <w:b w:val="0"/>
          <w:i w:val="0"/>
          <w:sz w:val="17"/>
          <w:highlight w:val="yellow"/>
        </w:rPr>
        <w:t>[TỈNH/THÀNH PHỐ]</w:t>
      </w:r>
      <w:r>
        <w:rPr>
          <w:b w:val="0"/>
          <w:i w:val="0"/>
          <w:sz w:val="17"/>
        </w:rPr>
        <w:t xml:space="preserve"> (để đăng ký);</w:t>
      </w:r>
    </w:p>
    <w:p>
      <w:pPr>
        <w:pStyle w:val="SmallNote"/>
        <w:spacing w:after="0"/>
        <w:ind w:left="170"/>
      </w:pPr>
      <w:r>
        <w:rPr>
          <w:b w:val="0"/>
          <w:i w:val="0"/>
          <w:sz w:val="17"/>
        </w:rPr>
        <w:t xml:space="preserve">- </w:t>
      </w:r>
      <w:r>
        <w:rPr>
          <w:b w:val="0"/>
          <w:i w:val="0"/>
          <w:sz w:val="17"/>
          <w:highlight w:val="yellow"/>
        </w:rPr>
        <w:t>[TỔ CHỨC ĐẠI DIỆN NGƯỜI LAO ĐỘNG TẠI CƠ SỞ]</w:t>
      </w:r>
      <w:r>
        <w:rPr>
          <w:b w:val="0"/>
          <w:i w:val="0"/>
          <w:sz w:val="17"/>
        </w:rPr>
        <w:t>;</w:t>
      </w:r>
    </w:p>
    <w:p>
      <w:pPr>
        <w:pStyle w:val="SmallNote"/>
        <w:spacing w:after="0"/>
        <w:ind w:left="170"/>
      </w:pPr>
      <w:r>
        <w:rPr>
          <w:b w:val="0"/>
          <w:i w:val="0"/>
          <w:sz w:val="17"/>
        </w:rPr>
        <w:t xml:space="preserve">- Ban </w:t>
      </w:r>
      <w:r>
        <w:rPr>
          <w:b w:val="0"/>
          <w:i w:val="0"/>
          <w:sz w:val="17"/>
          <w:highlight w:val="yellow"/>
        </w:rPr>
        <w:t>[TỔNG]</w:t>
      </w:r>
      <w:r>
        <w:rPr>
          <w:b w:val="0"/>
          <w:i w:val="0"/>
          <w:sz w:val="17"/>
        </w:rPr>
        <w:t xml:space="preserve"> Giám đốc (để b/c);</w:t>
      </w:r>
    </w:p>
    <w:p>
      <w:pPr>
        <w:pStyle w:val="SmallNote"/>
        <w:spacing w:after="0"/>
        <w:ind w:left="170"/>
      </w:pPr>
      <w:r>
        <w:rPr>
          <w:b w:val="0"/>
          <w:i w:val="0"/>
          <w:sz w:val="17"/>
        </w:rPr>
        <w:t>- Lưu: VT, NS;</w:t>
      </w:r>
    </w:p>
    <w:p>
      <w:pPr>
        <w:spacing w:after="120"/>
      </w:pPr>
    </w:p>
    <w:tbl>
      <w:tblPr>
        <w:tblW w:type="auto" w:w="0"/>
        <w:jc w:val="center"/>
        <w:tblLayout w:type="fixed"/>
        <w:tblLook w:firstColumn="1" w:firstRow="1" w:lastColumn="0" w:lastRow="0" w:noHBand="0" w:noVBand="1" w:val="04A0"/>
      </w:tblPr>
      <w:tblGrid>
        <w:gridCol w:w="4678"/>
        <w:gridCol w:w="4678"/>
      </w:tblGrid>
      <w:tr>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p>
          <w:p>
            <w:pPr>
              <w:pStyle w:val="TableText"/>
            </w:pPr>
          </w:p>
          <w:p>
            <w:pPr>
              <w:pStyle w:val="TableText"/>
            </w:pPr>
          </w:p>
          <w:p>
            <w:pPr>
              <w:pStyle w:val="TableText"/>
            </w:pPr>
          </w:p>
        </w:tc>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r>
              <w:rPr>
                <w:b/>
                <w:i w:val="0"/>
                <w:color w:val="17324D"/>
                <w:sz w:val="19"/>
                <w:highlight w:val="yellow"/>
              </w:rPr>
              <w:t>[CHỨC DANH NGƯỜI KÝ]</w:t>
            </w:r>
          </w:p>
          <w:p>
            <w:pPr>
              <w:pStyle w:val="TableText"/>
              <w:jc w:val="center"/>
            </w:pPr>
            <w:r>
              <w:rPr>
                <w:b w:val="0"/>
                <w:i/>
                <w:color w:val="5B6573"/>
                <w:sz w:val="17"/>
              </w:rPr>
              <w:t>(Ký, ghi rõ họ tên và đóng dấu)</w:t>
            </w:r>
          </w:p>
          <w:p>
            <w:pPr>
              <w:pStyle w:val="TableText"/>
            </w:pPr>
          </w:p>
          <w:p>
            <w:pPr>
              <w:pStyle w:val="TableText"/>
            </w:pPr>
          </w:p>
          <w:p>
            <w:pPr>
              <w:pStyle w:val="TableText"/>
            </w:pPr>
          </w:p>
        </w:tc>
      </w:tr>
    </w:tbl>
    <w:p>
      <w:pPr>
        <w:spacing w:after="80"/>
      </w:pPr>
    </w:p>
    <w:p>
      <w:pPr>
        <w:pStyle w:val="SmallNote"/>
      </w:pPr>
      <w:r>
        <w:rPr>
          <w:b w:val="0"/>
          <w:i w:val="0"/>
        </w:rPr>
        <w:t>Số chương, số điều, số phụ lục tại Điều 1 phải khớp đúng với bản Nội quy lao động nộp kèm hồ sơ.</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6" w:h="16838"/>
      <w:pgMar w:top="1077" w:right="1077" w:bottom="992" w:left="1332" w:header="425"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Tahoma" w:hAnsi="Tahoma" w:eastAsia="Tahoma" w:cs="Tahoma"/>
        <w:color w:val="5B6573"/>
        <w:sz w:val="16"/>
      </w:rPr>
      <w:t xml:space="preserve">QDNQ-01 | v1.0  ·  </w:t>
    </w:r>
    <w:r>
      <w:rPr>
        <w:rFonts w:ascii="Tahoma" w:hAnsi="Tahoma" w:eastAsia="Tahoma" w:cs="Tahoma"/>
        <w:b/>
        <w:i w:val="0"/>
        <w:color w:val="5B6573"/>
        <w:sz w:val="16"/>
        <w:highlight w:val="yellow"/>
      </w:rPr>
      <w:t>[MỨC ĐỘ BẢO MẬT: NỘI BỘ]</w:t>
    </w:r>
    <w:r>
      <w:rPr>
        <w:rFonts w:ascii="Tahoma" w:hAnsi="Tahoma" w:eastAsia="Tahoma" w:cs="Tahoma"/>
        <w:color w:val="5B6573"/>
        <w:sz w:val="16"/>
      </w:rPr>
      <w:t xml:space="preserve">  ·  Trang </w:t>
    </w:r>
    <w:r>
      <w:fldChar w:fldCharType="begin"/>
      <w:instrText xml:space="preserve">PAGE</w:instrText>
      <w:fldChar w:fldCharType="separate"/>
      <w:t>1</w:t>
      <w:fldChar w:fldCharType="end"/>
    </w:r>
    <w:r>
      <w:rPr>
        <w:rFonts w:ascii="Tahoma" w:hAnsi="Tahoma" w:eastAsia="Tahoma" w:cs="Tahoma"/>
        <w:color w:val="5B6573"/>
        <w:sz w:val="16"/>
      </w:rPr>
      <w:t>/</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5B6573"/>
        <w:sz w:val="16"/>
      </w:rPr>
      <w:t>QDNQ-01 · v1.0 · Mẫu cần tùy chỉnh trước khi ban hành</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ahoma" w:hAnsi="Tahoma" w:eastAsia="Tahoma" w:cs="Tahoma"/>
        <w:b/>
        <w:color w:val="5B6573"/>
        <w:sz w:val="17"/>
      </w:rPr>
      <w:t>[TÊN DOANH NGHIỆP]  ·  QDNQ-01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jc w:val="both"/>
    </w:pPr>
    <w:rPr>
      <w:rFonts w:ascii="Tahoma" w:hAnsi="Tahoma" w:eastAsia="Tahoma" w:cs="Tahom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Tahoma" w:hAnsi="Tahoma" w:eastAsia="Tahoma" w:cs="Tahoma"/>
      <w:b/>
      <w:bCs/>
      <w:color w:val="17324D"/>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ahoma" w:hAnsi="Tahoma" w:eastAsia="Tahoma" w:cs="Tahoma"/>
      <w:b/>
      <w:bCs/>
      <w:color w:val="1F4E78"/>
      <w:sz w:val="25"/>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Tahoma" w:hAnsi="Tahoma" w:eastAsia="Tahoma" w:cs="Tahoma"/>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Tahoma" w:hAnsi="Tahoma" w:eastAsia="Tahoma" w:cs="Tahoma"/>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jc w:val="center"/>
    </w:pPr>
    <w:rPr>
      <w:rFonts w:asciiTheme="majorHAnsi" w:eastAsiaTheme="majorEastAsia" w:hAnsiTheme="majorHAnsi" w:cstheme="majorBidi" w:ascii="Tahoma" w:hAnsi="Tahoma" w:eastAsia="Tahoma" w:cs="Tahoma"/>
      <w:b w:val="0"/>
      <w:i/>
      <w:iCs/>
      <w:color w:val="5B6573"/>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ind w:left="425" w:hanging="198"/>
      <w:contextualSpacing/>
    </w:pPr>
    <w:rPr>
      <w:rFonts w:ascii="Tahoma" w:hAnsi="Tahoma" w:eastAsia="Tahom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ind w:left="425" w:hanging="198"/>
      <w:contextualSpacing/>
    </w:pPr>
    <w:rPr>
      <w:rFonts w:ascii="Tahoma" w:hAnsi="Tahoma" w:eastAsia="Tahom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pPr>
      <w:keepNext/>
      <w:spacing w:before="160" w:after="60"/>
    </w:pPr>
    <w:rPr>
      <w:rFonts w:ascii="Tahoma" w:hAnsi="Tahoma" w:eastAsia="Tahoma"/>
      <w:b/>
      <w:color w:val="17324D"/>
      <w:sz w:val="23"/>
    </w:rPr>
  </w:style>
  <w:style w:type="paragraph" w:customStyle="1" w:styleId="SmallNote">
    <w:name w:val="Small Note"/>
    <w:pPr>
      <w:spacing w:after="80"/>
    </w:pPr>
    <w:rPr>
      <w:rFonts w:ascii="Tahoma" w:hAnsi="Tahoma" w:eastAsia="Tahoma"/>
      <w:i/>
      <w:color w:val="5B6573"/>
      <w:sz w:val="18"/>
    </w:rPr>
  </w:style>
  <w:style w:type="paragraph" w:customStyle="1" w:styleId="TableText">
    <w:name w:val="Table Text"/>
    <w:pPr>
      <w:widowControl/>
      <w:spacing w:after="30" w:line="240" w:lineRule="auto"/>
    </w:pPr>
    <w:rPr>
      <w:rFonts w:ascii="Tahoma" w:hAnsi="Tahoma" w:eastAsia="Tahoma"/>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quy lao động – mẫu hoàn thiện</dc:title>
  <dc:subject>Quản trị lao động – nhân sự</dc:subject>
  <dc:creator>[TÊN DOANH NGHIỆP]</dc:creator>
  <cp:keywords>nội quy lao động, kỷ luật lao động, Nghị định 145/2020/NĐ-CP</cp:keywords>
  <dc:description>generated by python-docx</dc:description>
  <cp:lastModifiedBy/>
  <cp:revision>1</cp:revision>
  <dcterms:created xsi:type="dcterms:W3CDTF">2013-12-23T23:15:00Z</dcterms:created>
  <dcterms:modified xsi:type="dcterms:W3CDTF">2013-12-23T23:15:00Z</dcterms:modified>
  <cp:category/>
</cp:coreProperties>
</file>