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CHECKLIST HỒ SƠ</w:t>
      </w:r>
      <w:r>
        <w:br/>
      </w:r>
      <w:r>
        <w:rPr>
          <w:b w:val="0"/>
          <w:i w:val="0"/>
        </w:rPr>
        <w:t>ĐĂNG KÝ NỘI QUY LAO ĐỘNG</w:t>
      </w:r>
    </w:p>
    <w:p>
      <w:pPr>
        <w:pStyle w:val="Subtitle"/>
      </w:pPr>
      <w:r>
        <w:rPr>
          <w:b w:val="0"/>
          <w:i w:val="0"/>
        </w:rPr>
        <w:t>Mẫu CKHS-01 · Dùng để rà soát trước khi nộp hồ sơ</w:t>
      </w:r>
    </w:p>
    <w:tbl>
      <w:tblPr>
        <w:tblW w:type="auto" w:w="0"/>
        <w:jc w:val="center"/>
        <w:tblLayout w:type="fixed"/>
        <w:tblLook w:firstColumn="1" w:firstRow="1" w:lastColumn="0" w:lastRow="0" w:noHBand="0" w:noVBand="1" w:val="04A0"/>
      </w:tblPr>
      <w:tblGrid>
        <w:gridCol w:w="9356"/>
      </w:tblGrid>
      <w:tr>
        <w:tc>
          <w:tcPr>
            <w:tcW w:type="dxa" w:w="9354"/>
            <w:shd w:fill="EEF5FA"/>
            <w:tcBorders>
              <w:top w:val="single" w:sz="8" w:color="9DC3E6"/>
              <w:start w:val="single" w:sz="8" w:color="9DC3E6"/>
              <w:bottom w:val="single" w:sz="8" w:color="9DC3E6"/>
              <w:end w:val="single" w:sz="8" w:color="9DC3E6"/>
            </w:tcBorders>
            <w:tcMar>
              <w:top w:w="130" w:type="dxa"/>
              <w:start w:w="160" w:type="dxa"/>
              <w:bottom w:w="130" w:type="dxa"/>
              <w:end w:w="160" w:type="dxa"/>
            </w:tcMar>
          </w:tcPr>
          <w:p>
            <w:pPr>
              <w:pStyle w:val="TableText"/>
            </w:pPr>
            <w:r>
              <w:rPr>
                <w:b/>
                <w:color w:val="17324D"/>
                <w:sz w:val="19"/>
              </w:rPr>
              <w:t>PHẠM VI ÁP DỤNG</w:t>
            </w:r>
            <w:r>
              <w:br/>
            </w:r>
            <w:r>
              <w:rPr>
                <w:b w:val="0"/>
                <w:i w:val="0"/>
                <w:sz w:val="18"/>
              </w:rPr>
              <w:t>Doanh nghiệp sử dụng từ 10 người lao động trở lên phải có nội quy lao động bằng văn bản và phải đăng ký tại cơ quan có thẩm quyền nơi đăng ký kinh doanh. Doanh nghiệp dưới 10 người lao động không bắt buộc đăng ký; nếu ban hành nội quy bằng văn bản thì hiệu lực do người sử dụng lao động quyết định trong nội quy.</w:t>
            </w:r>
          </w:p>
        </w:tc>
      </w:tr>
    </w:tbl>
    <w:p>
      <w:pPr>
        <w:spacing w:after="80"/>
      </w:pPr>
    </w:p>
    <w:p>
      <w:pPr>
        <w:pStyle w:val="Heading1"/>
      </w:pPr>
      <w:r>
        <w:rPr>
          <w:b w:val="0"/>
          <w:i w:val="0"/>
        </w:rPr>
        <w:t>1. Mốc thời hạn phải nhớ</w:t>
      </w:r>
    </w:p>
    <w:tbl>
      <w:tblPr>
        <w:tblW w:type="auto" w:w="0"/>
        <w:jc w:val="center"/>
        <w:tblLayout w:type="fixed"/>
        <w:tblLook w:firstColumn="1" w:firstRow="1" w:lastColumn="0" w:lastRow="0" w:noHBand="0" w:noVBand="1" w:val="04A0"/>
        <w:tblLayout w:type="fixed"/>
      </w:tblPr>
      <w:tblGrid>
        <w:gridCol w:w="2608"/>
        <w:gridCol w:w="3175"/>
        <w:gridCol w:w="2041"/>
        <w:gridCol w:w="1531"/>
      </w:tblGrid>
      <w:tr>
        <w:trPr>
          <w:tblHeader w:val="true"/>
          <w:cantSplit/>
        </w:trPr>
        <w:tc>
          <w:tcPr>
            <w:tcW w:type="dxa" w:w="260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Mốc</w:t>
            </w:r>
          </w:p>
        </w:tc>
        <w:tc>
          <w:tcPr>
            <w:tcW w:type="dxa" w:w="317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Thời hạn</w:t>
            </w:r>
          </w:p>
        </w:tc>
        <w:tc>
          <w:tcPr>
            <w:tcW w:type="dxa" w:w="204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Căn cứ</w:t>
            </w:r>
          </w:p>
        </w:tc>
        <w:tc>
          <w:tcPr>
            <w:tcW w:type="dxa" w:w="153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Ghi ngày thực tế</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Tham khảo ý kiến tổ chức đại diện NLĐ</w:t>
            </w:r>
          </w:p>
        </w:tc>
        <w:tc>
          <w:tcPr>
            <w:tcW w:type="dxa" w:w="317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Trước khi ban hành hoặc sửa đổi, bổ sung</w:t>
            </w:r>
          </w:p>
        </w:tc>
        <w:tc>
          <w:tcPr>
            <w:tcW w:type="dxa" w:w="204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Khoản 3 Điều 118 BLLĐ</w:t>
            </w:r>
          </w:p>
        </w:tc>
        <w:tc>
          <w:tcPr>
            <w:tcW w:type="dxa" w:w="153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Nộp hồ sơ đăng ký</w:t>
            </w:r>
          </w:p>
        </w:tc>
        <w:tc>
          <w:tcPr>
            <w:tcW w:type="dxa" w:w="317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Trong 10 ngày kể từ ngày ban hành nội quy</w:t>
            </w:r>
          </w:p>
        </w:tc>
        <w:tc>
          <w:tcPr>
            <w:tcW w:type="dxa" w:w="204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Khoản 2 Điều 119 BLLĐ</w:t>
            </w:r>
          </w:p>
        </w:tc>
        <w:tc>
          <w:tcPr>
            <w:tcW w:type="dxa" w:w="153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Cơ quan xem xét hồ sơ</w:t>
            </w:r>
          </w:p>
        </w:tc>
        <w:tc>
          <w:tcPr>
            <w:tcW w:type="dxa" w:w="317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07 ngày làm việc kể từ ngày nhận hồ sơ; nếu có nội dung trái pháp luật thì thông báo, hướng dẫn sửa đổi và đăng ký lại</w:t>
            </w:r>
          </w:p>
        </w:tc>
        <w:tc>
          <w:tcPr>
            <w:tcW w:type="dxa" w:w="204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Khoản 3 Điều 119 BLLĐ</w:t>
            </w:r>
          </w:p>
        </w:tc>
        <w:tc>
          <w:tcPr>
            <w:tcW w:type="dxa" w:w="153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Nội quy có hiệu lực</w:t>
            </w:r>
          </w:p>
        </w:tc>
        <w:tc>
          <w:tcPr>
            <w:tcW w:type="dxa" w:w="317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Sau 15 ngày kể từ ngày cơ quan nhận được đầy đủ hồ sơ đăng ký</w:t>
            </w:r>
          </w:p>
        </w:tc>
        <w:tc>
          <w:tcPr>
            <w:tcW w:type="dxa" w:w="204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Điều 121 BLLĐ</w:t>
            </w:r>
          </w:p>
        </w:tc>
        <w:tc>
          <w:tcPr>
            <w:tcW w:type="dxa" w:w="153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Gửi nội quy đã đăng ký cho địa bàn có chi nhánh</w:t>
            </w:r>
          </w:p>
        </w:tc>
        <w:tc>
          <w:tcPr>
            <w:tcW w:type="dxa" w:w="317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Sau khi đăng ký</w:t>
            </w:r>
          </w:p>
        </w:tc>
        <w:tc>
          <w:tcPr>
            <w:tcW w:type="dxa" w:w="204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Khoản 4 Điều 119 BLLĐ</w:t>
            </w:r>
          </w:p>
        </w:tc>
        <w:tc>
          <w:tcPr>
            <w:tcW w:type="dxa" w:w="153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r>
    </w:tbl>
    <w:p>
      <w:pPr>
        <w:spacing w:after="120"/>
      </w:pPr>
    </w:p>
    <w:p>
      <w:pPr>
        <w:pStyle w:val="Heading1"/>
      </w:pPr>
      <w:r>
        <w:rPr>
          <w:b w:val="0"/>
          <w:i w:val="0"/>
        </w:rPr>
        <w:t>2. Thành phần hồ sơ</w:t>
      </w:r>
    </w:p>
    <w:tbl>
      <w:tblPr>
        <w:tblW w:type="auto" w:w="0"/>
        <w:jc w:val="center"/>
        <w:tblLayout w:type="fixed"/>
        <w:tblLook w:firstColumn="1" w:firstRow="1" w:lastColumn="0" w:lastRow="0" w:noHBand="0" w:noVBand="1" w:val="04A0"/>
        <w:tblLayout w:type="fixed"/>
      </w:tblPr>
      <w:tblGrid>
        <w:gridCol w:w="624"/>
        <w:gridCol w:w="3629"/>
        <w:gridCol w:w="1814"/>
        <w:gridCol w:w="2155"/>
        <w:gridCol w:w="1134"/>
      </w:tblGrid>
      <w:tr>
        <w:trPr>
          <w:tblHeader w:val="true"/>
          <w:cantSplit/>
        </w:trPr>
        <w:tc>
          <w:tcPr>
            <w:tcW w:type="dxa" w:w="62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362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Tài liệu</w:t>
            </w:r>
          </w:p>
        </w:tc>
        <w:tc>
          <w:tcPr>
            <w:tcW w:type="dxa" w:w="181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Mẫu đi kèm</w:t>
            </w:r>
          </w:p>
        </w:tc>
        <w:tc>
          <w:tcPr>
            <w:tcW w:type="dxa" w:w="215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Bắt buộc</w:t>
            </w:r>
          </w:p>
        </w:tc>
        <w:tc>
          <w:tcPr>
            <w:tcW w:type="dxa" w:w="113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Đã có</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36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Văn bản đề nghị đăng ký nội quy lao động</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DKNQ-01</w:t>
            </w:r>
          </w:p>
        </w:tc>
        <w:tc>
          <w:tcPr>
            <w:tcW w:type="dxa" w:w="215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Có</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36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Nội quy lao động (kèm phụ lục)</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NQLD-01</w:t>
            </w:r>
          </w:p>
        </w:tc>
        <w:tc>
          <w:tcPr>
            <w:tcW w:type="dxa" w:w="215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Có</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36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Quyết định ban hành nội quy lao động</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QDNQ-01</w:t>
            </w:r>
          </w:p>
        </w:tc>
        <w:tc>
          <w:tcPr>
            <w:tcW w:type="dxa" w:w="215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Có (kèm nội quy)</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4</w:t>
            </w:r>
          </w:p>
        </w:tc>
        <w:tc>
          <w:tcPr>
            <w:tcW w:type="dxa" w:w="36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Văn bản góp ý của tổ chức đại diện NLĐ tại cơ sở</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VBGY-01</w:t>
            </w:r>
          </w:p>
        </w:tc>
        <w:tc>
          <w:tcPr>
            <w:tcW w:type="dxa" w:w="215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Có, nơi có tổ chức đại diện</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5</w:t>
            </w:r>
          </w:p>
        </w:tc>
        <w:tc>
          <w:tcPr>
            <w:tcW w:type="dxa" w:w="36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Văn bản lấy ý kiến và biên bản họp lấy ý kiến</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LYK-01, BBLY-01</w:t>
            </w:r>
          </w:p>
        </w:tc>
        <w:tc>
          <w:tcPr>
            <w:tcW w:type="dxa" w:w="215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Nên có (chứng minh đã tham vấn)</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6</w:t>
            </w:r>
          </w:p>
        </w:tc>
        <w:tc>
          <w:tcPr>
            <w:tcW w:type="dxa" w:w="36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Các văn bản có quy định liên quan đến kỷ luật lao động và trách nhiệm vật chất</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[QUY CHẾ/QUY TRÌNH NỘI BỘ]</w:t>
            </w:r>
          </w:p>
        </w:tc>
        <w:tc>
          <w:tcPr>
            <w:tcW w:type="dxa" w:w="215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Nếu có</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7</w:t>
            </w:r>
          </w:p>
        </w:tc>
        <w:tc>
          <w:tcPr>
            <w:tcW w:type="dxa" w:w="36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Giấy ủy quyền/giấy giới thiệu người nộp hồ sơ</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[THEO MẪU DN]</w:t>
            </w:r>
          </w:p>
        </w:tc>
        <w:tc>
          <w:tcPr>
            <w:tcW w:type="dxa" w:w="215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Nếu có</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8</w:t>
            </w:r>
          </w:p>
        </w:tc>
        <w:tc>
          <w:tcPr>
            <w:tcW w:type="dxa" w:w="36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Bản sao Giấy chứng nhận đăng ký doanh nghiệp</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w:t>
            </w:r>
          </w:p>
        </w:tc>
        <w:tc>
          <w:tcPr>
            <w:tcW w:type="dxa" w:w="215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Theo yêu cầu của nơi tiếp nhận</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bl>
    <w:p>
      <w:pPr>
        <w:spacing w:after="120"/>
      </w:pPr>
    </w:p>
    <w:p>
      <w:pPr>
        <w:pStyle w:val="Heading1"/>
      </w:pPr>
      <w:r>
        <w:rPr>
          <w:b w:val="0"/>
          <w:i w:val="0"/>
        </w:rPr>
        <w:t>3. Rà soát nội dung bắt buộc của nội quy</w:t>
      </w:r>
    </w:p>
    <w:tbl>
      <w:tblPr>
        <w:tblW w:type="auto" w:w="0"/>
        <w:jc w:val="center"/>
        <w:tblLayout w:type="fixed"/>
        <w:tblLook w:firstColumn="1" w:firstRow="1" w:lastColumn="0" w:lastRow="0" w:noHBand="0" w:noVBand="1" w:val="04A0"/>
        <w:tblLayout w:type="fixed"/>
      </w:tblPr>
      <w:tblGrid>
        <w:gridCol w:w="624"/>
        <w:gridCol w:w="5103"/>
        <w:gridCol w:w="2495"/>
        <w:gridCol w:w="1134"/>
      </w:tblGrid>
      <w:tr>
        <w:trPr>
          <w:tblHeader w:val="true"/>
          <w:cantSplit/>
        </w:trPr>
        <w:tc>
          <w:tcPr>
            <w:tcW w:type="dxa" w:w="62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5102"/>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 bắt buộc</w:t>
            </w:r>
          </w:p>
        </w:tc>
        <w:tc>
          <w:tcPr>
            <w:tcW w:type="dxa" w:w="249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Điều/khoản trong NQLD-01</w:t>
            </w:r>
          </w:p>
        </w:tc>
        <w:tc>
          <w:tcPr>
            <w:tcW w:type="dxa" w:w="113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Đạt</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510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Thời giờ làm việc, thời giờ nghỉ ngơi</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510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Trật tự tại nơi làm việc</w:t>
            </w:r>
          </w:p>
        </w:tc>
        <w:tc>
          <w:tcPr>
            <w:tcW w:type="dxa" w:w="249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510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An toàn, vệ sinh lao động</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4</w:t>
            </w:r>
          </w:p>
        </w:tc>
        <w:tc>
          <w:tcPr>
            <w:tcW w:type="dxa" w:w="510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Phòng, chống quấy rối tình dục tại nơi làm việc; trình tự, thủ tục xử lý</w:t>
            </w:r>
          </w:p>
        </w:tc>
        <w:tc>
          <w:tcPr>
            <w:tcW w:type="dxa" w:w="249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5</w:t>
            </w:r>
          </w:p>
        </w:tc>
        <w:tc>
          <w:tcPr>
            <w:tcW w:type="dxa" w:w="510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Bảo vệ tài sản, bí mật kinh doanh, bí mật công nghệ, sở hữu trí tuệ</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6</w:t>
            </w:r>
          </w:p>
        </w:tc>
        <w:tc>
          <w:tcPr>
            <w:tcW w:type="dxa" w:w="510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Trường hợp tạm thời chuyển người lao động làm việc khác so với hợp đồng lao động</w:t>
            </w:r>
          </w:p>
        </w:tc>
        <w:tc>
          <w:tcPr>
            <w:tcW w:type="dxa" w:w="249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7</w:t>
            </w:r>
          </w:p>
        </w:tc>
        <w:tc>
          <w:tcPr>
            <w:tcW w:type="dxa" w:w="510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Hành vi vi phạm và hình thức xử lý kỷ luật lao động tương ứng</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PHỤ LỤC ...]</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8</w:t>
            </w:r>
          </w:p>
        </w:tc>
        <w:tc>
          <w:tcPr>
            <w:tcW w:type="dxa" w:w="510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Trách nhiệm vật chất</w:t>
            </w:r>
          </w:p>
        </w:tc>
        <w:tc>
          <w:tcPr>
            <w:tcW w:type="dxa" w:w="249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  ]</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9</w:t>
            </w:r>
          </w:p>
        </w:tc>
        <w:tc>
          <w:tcPr>
            <w:tcW w:type="dxa" w:w="510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Người có thẩm quyền xử lý kỷ luật lao động</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113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  ]</w:t>
            </w:r>
          </w:p>
        </w:tc>
      </w:tr>
    </w:tbl>
    <w:p>
      <w:pPr>
        <w:spacing w:after="120"/>
      </w:pPr>
    </w:p>
    <w:p>
      <w:pPr>
        <w:pStyle w:val="Heading1"/>
      </w:pPr>
      <w:r>
        <w:rPr>
          <w:b w:val="0"/>
          <w:i w:val="0"/>
        </w:rPr>
        <w:t>4. Lỗi thường gặp khiến hồ sơ bị trả lại</w:t>
      </w:r>
    </w:p>
    <w:p>
      <w:pPr>
        <w:pStyle w:val="ListBullet"/>
      </w:pPr>
      <w:r>
        <w:rPr>
          <w:b w:val="0"/>
          <w:i w:val="0"/>
        </w:rPr>
        <w:t>Thiếu văn bản góp ý của tổ chức đại diện người lao động, hoặc doanh nghiệp tự soạn thay tổ chức đại diện.</w:t>
      </w:r>
    </w:p>
    <w:p>
      <w:pPr>
        <w:pStyle w:val="ListBullet"/>
      </w:pPr>
      <w:r>
        <w:rPr>
          <w:b w:val="0"/>
          <w:i w:val="0"/>
        </w:rPr>
        <w:t>Nội quy quy định phạt tiền, cắt lương thay việc xử lý kỷ luật lao động – hành vi bị cấm.</w:t>
      </w:r>
    </w:p>
    <w:p>
      <w:pPr>
        <w:pStyle w:val="ListBullet"/>
      </w:pPr>
      <w:r>
        <w:rPr>
          <w:b w:val="0"/>
          <w:i w:val="0"/>
        </w:rPr>
        <w:t>Áp dụng hình thức kỷ luật ngoài 04 hình thức luật định (khiển trách; kéo dài thời hạn nâng lương không quá 06 tháng; cách chức; sa thải).</w:t>
      </w:r>
    </w:p>
    <w:p>
      <w:pPr>
        <w:pStyle w:val="ListBullet"/>
      </w:pPr>
      <w:r>
        <w:rPr>
          <w:b w:val="0"/>
          <w:i w:val="0"/>
        </w:rPr>
        <w:t>Mô tả hành vi vi phạm chung chung, không đủ cụ thể để làm căn cứ xử lý kỷ luật, đặc biệt là các hành vi dẫn tới sa thải.</w:t>
      </w:r>
    </w:p>
    <w:p>
      <w:pPr>
        <w:pStyle w:val="ListBullet"/>
      </w:pPr>
      <w:r>
        <w:rPr>
          <w:b w:val="0"/>
          <w:i w:val="0"/>
        </w:rPr>
        <w:t>Không nêu ngưỡng “thiệt hại nghiêm trọng/đặc biệt nghiêm trọng” trong nội quy.</w:t>
      </w:r>
    </w:p>
    <w:p>
      <w:pPr>
        <w:pStyle w:val="ListBullet"/>
      </w:pPr>
      <w:r>
        <w:rPr>
          <w:b w:val="0"/>
          <w:i w:val="0"/>
        </w:rPr>
        <w:t>Quy định thời giờ làm việc, làm thêm giờ vượt giới hạn pháp luật.</w:t>
      </w:r>
    </w:p>
    <w:p>
      <w:pPr>
        <w:pStyle w:val="ListBullet"/>
      </w:pPr>
      <w:r>
        <w:rPr>
          <w:b w:val="0"/>
          <w:i w:val="0"/>
        </w:rPr>
        <w:t>Nộp hồ sơ quá 10 ngày kể từ ngày ban hành nội quy.</w:t>
      </w:r>
    </w:p>
    <w:p>
      <w:pPr>
        <w:pStyle w:val="ListBullet"/>
      </w:pPr>
      <w:r>
        <w:rPr>
          <w:b w:val="0"/>
          <w:i w:val="0"/>
        </w:rPr>
        <w:t>Số chương/điều/phụ lục trong quyết định ban hành không khớp với bản nội quy nộp kèm.</w:t>
      </w:r>
    </w:p>
    <w:p>
      <w:pPr>
        <w:pStyle w:val="ListBullet"/>
      </w:pPr>
      <w:r>
        <w:rPr>
          <w:b w:val="0"/>
          <w:i w:val="0"/>
        </w:rPr>
        <w:t>Thiếu chữ ký, dấu giáp lai hoặc nộp bản không đầy đủ phụ lục.</w:t>
      </w:r>
    </w:p>
    <w:p>
      <w:pPr>
        <w:pStyle w:val="Heading1"/>
      </w:pPr>
      <w:r>
        <w:rPr>
          <w:b w:val="0"/>
          <w:i w:val="0"/>
        </w:rPr>
        <w:t>5. Theo dõi hồ sơ</w:t>
      </w:r>
    </w:p>
    <w:tbl>
      <w:tblPr>
        <w:tblW w:type="auto" w:w="0"/>
        <w:jc w:val="center"/>
        <w:tblLayout w:type="fixed"/>
        <w:tblLook w:firstColumn="1" w:firstRow="1" w:lastColumn="0" w:lastRow="0" w:noHBand="0" w:noVBand="1" w:val="04A0"/>
        <w:tblLayout w:type="fixed"/>
      </w:tblPr>
      <w:tblGrid>
        <w:gridCol w:w="2608"/>
        <w:gridCol w:w="2268"/>
        <w:gridCol w:w="1814"/>
        <w:gridCol w:w="2665"/>
      </w:tblGrid>
      <w:tr>
        <w:trPr>
          <w:tblHeader w:val="true"/>
          <w:cantSplit/>
        </w:trPr>
        <w:tc>
          <w:tcPr>
            <w:tcW w:type="dxa" w:w="260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Bước</w:t>
            </w:r>
          </w:p>
        </w:tc>
        <w:tc>
          <w:tcPr>
            <w:tcW w:type="dxa" w:w="226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Người phụ trách</w:t>
            </w:r>
          </w:p>
        </w:tc>
        <w:tc>
          <w:tcPr>
            <w:tcW w:type="dxa" w:w="181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Ngày thực hiện</w:t>
            </w:r>
          </w:p>
        </w:tc>
        <w:tc>
          <w:tcPr>
            <w:tcW w:type="dxa" w:w="266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Bằng chứng lưu</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Hoàn thiện dự thảo nội quy</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 – CHỨC DANH]</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[FILE/BẢN GIẤY]</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Gửi văn bản lấy ý kiến</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 xml:space="preserve">Công văn số </w:t>
            </w:r>
            <w:r>
              <w:rPr>
                <w:b w:val="0"/>
                <w:i w:val="0"/>
                <w:sz w:val="18"/>
                <w:highlight w:val="yellow"/>
              </w:rPr>
              <w:t>[SỐ]</w:t>
            </w:r>
            <w:r>
              <w:rPr>
                <w:b w:val="0"/>
                <w:i w:val="0"/>
                <w:sz w:val="18"/>
              </w:rPr>
              <w:t xml:space="preserve"> + bằng chứng đã gửi</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Họp lấy ý kiến</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Biên bản BBLY-01</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Nhận văn bản góp ý</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 xml:space="preserve">Văn bản số </w:t>
            </w:r>
            <w:r>
              <w:rPr>
                <w:b w:val="0"/>
                <w:i w:val="0"/>
                <w:sz w:val="18"/>
                <w:highlight w:val="yellow"/>
              </w:rPr>
              <w:t>[SỐ]</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Ký quyết định ban hành</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 xml:space="preserve">Quyết định số </w:t>
            </w:r>
            <w:r>
              <w:rPr>
                <w:b w:val="0"/>
                <w:i w:val="0"/>
                <w:sz w:val="18"/>
                <w:highlight w:val="yellow"/>
              </w:rPr>
              <w:t>[SỐ]</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Nộp hồ sơ đăng ký</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 xml:space="preserve">Biên nhận/mã hồ sơ </w:t>
            </w:r>
            <w:r>
              <w:rPr>
                <w:b w:val="0"/>
                <w:i w:val="0"/>
                <w:sz w:val="18"/>
                <w:highlight w:val="yellow"/>
              </w:rPr>
              <w:t>[SỐ]</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Cơ quan nhận đủ hồ sơ</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Biên nhận/thông báo tiếp nhận</w:t>
            </w:r>
          </w:p>
        </w:tc>
      </w:tr>
      <w:tr>
        <w:tc>
          <w:tcPr>
            <w:tcW w:type="dxa" w:w="260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Nội quy có hiệu lực</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Tính từ ngày nhận đủ hồ sơ + 15 ngày</w:t>
            </w:r>
          </w:p>
        </w:tc>
      </w:tr>
      <w:tr>
        <w:tc>
          <w:tcPr>
            <w:tcW w:type="dxa" w:w="260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Phổ biến, niêm yết</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266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Thông báo TBNB-01, Biên bản BBNY-01</w:t>
            </w:r>
          </w:p>
        </w:tc>
      </w:tr>
    </w:tbl>
    <w:p>
      <w:pPr>
        <w:spacing w:after="12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MIỄN TRỪ TRÁCH NHIỆM</w:t>
            </w:r>
            <w:r>
              <w:br/>
            </w:r>
            <w:r>
              <w:rPr>
                <w:b w:val="0"/>
                <w:i w:val="0"/>
                <w:sz w:val="18"/>
              </w:rPr>
              <w:t>Bộ mẫu này là tài liệu tham khảo, chưa phải ý kiến tư vấn pháp lý cho một trường hợp cụ thể. Trước khi ban hành và nộp hồ sơ, doanh nghiệp cần rà soát lại theo quy định hiện hành và hướng dẫn của cơ quan tiếp nhận tại địa phương.</w:t>
            </w:r>
          </w:p>
        </w:tc>
      </w:tr>
    </w:tbl>
    <w:p>
      <w:pPr>
        <w:spacing w:after="80"/>
      </w:pP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CKHS-01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CKHS-01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CKHS-01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