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left w:val="none"/>
          <w:bottom w:val="none"/>
          <w:right w:val="none"/>
          <w:insideH w:val="none"/>
          <w:insideV w:val="none"/>
        </w:tblBorders>
      </w:tblPr>
      <w:tblGrid>
        <w:gridCol w:w="4200"/>
        <w:gridCol w:w="5155"/>
      </w:tblGrid>
      <w:tr>
        <w:tc>
          <w:tcPr>
            <w:tcW w:type="dxa" w:w="42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CÔNG TY [CẦN ĐIỀN]</w:t>
            </w:r>
          </w:p>
          <w:p>
            <w:pPr>
              <w:spacing w:after="40"/>
              <w:jc w:val="center"/>
            </w:pPr>
            <w:r>
              <w:rPr>
                <w:rFonts w:ascii="Times New Roman" w:cs="Times New Roman" w:eastAsia="Times New Roman" w:hAnsi="Times New Roman"/>
                <w:sz w:val="20"/>
                <w:szCs w:val="20"/>
              </w:rPr>
              <w:t xml:space="preserve">————</w:t>
            </w:r>
          </w:p>
          <w:p>
            <w:pPr>
              <w:jc w:val="center"/>
            </w:pPr>
            <w:r>
              <w:rPr>
                <w:rFonts w:ascii="Times New Roman" w:cs="Times New Roman" w:eastAsia="Times New Roman" w:hAnsi="Times New Roman"/>
                <w:sz w:val="22"/>
                <w:szCs w:val="22"/>
              </w:rPr>
              <w:t xml:space="preserve">Số: ......../[NĂM]/QC-[CẦN ĐIỀN]</w:t>
            </w:r>
          </w:p>
        </w:tc>
        <w:tc>
          <w:tcPr>
            <w:tcW w:type="dxa" w:w="5155"/>
            <w:tcBorders>
              <w:top w:val="none"/>
              <w:left w:val="none"/>
              <w:bottom w:val="none"/>
              <w:right w:val="none"/>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spacing w:after="40"/>
              <w:jc w:val="center"/>
            </w:pPr>
            <w:r>
              <w:rPr>
                <w:rFonts w:ascii="Times New Roman" w:cs="Times New Roman" w:eastAsia="Times New Roman" w:hAnsi="Times New Roman"/>
                <w:sz w:val="20"/>
                <w:szCs w:val="20"/>
              </w:rPr>
              <w:t xml:space="preserve">———————————</w:t>
            </w:r>
          </w:p>
          <w:p>
            <w:pPr>
              <w:jc w:val="right"/>
            </w:pPr>
            <w:r>
              <w:rPr>
                <w:rFonts w:ascii="Times New Roman" w:cs="Times New Roman" w:eastAsia="Times New Roman" w:hAnsi="Times New Roman"/>
                <w:i/>
                <w:iCs/>
                <w:sz w:val="22"/>
                <w:szCs w:val="22"/>
              </w:rPr>
              <w:t xml:space="preserve">……, ngày …… tháng …… năm [NĂM]</w:t>
            </w:r>
          </w:p>
        </w:tc>
      </w:tr>
    </w:tbl>
    <w:p>
      <w:pPr>
        <w:spacing w:after="20" w:before="240"/>
        <w:jc w:val="center"/>
      </w:pPr>
      <w:r>
        <w:rPr>
          <w:rFonts w:ascii="Times New Roman" w:cs="Times New Roman" w:eastAsia="Times New Roman" w:hAnsi="Times New Roman"/>
          <w:b/>
          <w:bCs/>
          <w:sz w:val="30"/>
          <w:szCs w:val="30"/>
        </w:rPr>
        <w:t xml:space="preserve">QUYẾT ĐỊNH</w:t>
      </w:r>
    </w:p>
    <w:p>
      <w:pPr>
        <w:spacing w:after="40"/>
        <w:jc w:val="center"/>
      </w:pPr>
      <w:r>
        <w:rPr>
          <w:rFonts w:ascii="Times New Roman" w:cs="Times New Roman" w:eastAsia="Times New Roman" w:hAnsi="Times New Roman"/>
          <w:b/>
          <w:bCs/>
          <w:sz w:val="24"/>
          <w:szCs w:val="24"/>
        </w:rPr>
        <w:t xml:space="preserve">Về việc ban hành Quy chế chi phúc lợi cho người lao động</w:t>
      </w:r>
    </w:p>
    <w:p>
      <w:pPr>
        <w:spacing w:after="120"/>
        <w:jc w:val="center"/>
      </w:pPr>
      <w:r>
        <w:rPr>
          <w:rFonts w:ascii="Times New Roman" w:cs="Times New Roman" w:eastAsia="Times New Roman" w:hAnsi="Times New Roman"/>
          <w:b/>
          <w:bCs/>
          <w:sz w:val="24"/>
          <w:szCs w:val="24"/>
        </w:rPr>
        <w:t xml:space="preserve">GIÁM ĐỐC CÔNG TY [CẦN ĐIỀN]</w:t>
      </w:r>
    </w:p>
    <w:p>
      <w:pPr>
        <w:spacing w:after="60" w:line="276"/>
        <w:jc w:val="both"/>
      </w:pPr>
      <w:r>
        <w:rPr>
          <w:rFonts w:ascii="Times New Roman" w:cs="Times New Roman" w:eastAsia="Times New Roman" w:hAnsi="Times New Roman"/>
          <w:i/>
          <w:iCs/>
          <w:sz w:val="24"/>
          <w:szCs w:val="24"/>
        </w:rPr>
        <w:t xml:space="preserve">Căn cứ Bộ luật Lao động số 45/2019/QH14 và các văn bản hướng dẫn thi hành;</w:t>
      </w:r>
    </w:p>
    <w:p>
      <w:pPr>
        <w:spacing w:after="60" w:line="276"/>
        <w:jc w:val="both"/>
      </w:pPr>
      <w:r>
        <w:rPr>
          <w:rFonts w:ascii="Times New Roman" w:cs="Times New Roman" w:eastAsia="Times New Roman" w:hAnsi="Times New Roman"/>
          <w:i/>
          <w:iCs/>
          <w:sz w:val="24"/>
          <w:szCs w:val="24"/>
        </w:rPr>
        <w:t xml:space="preserve">Căn cứ Nghị định số 145/2020/NĐ-CP ngày 14/12/2020 của Chính phủ quy định chi tiết và hướng dẫn thi hành một số điều của Bộ luật Lao động về điều kiện lao động và quan hệ lao động (thực hiện quy chế dân chủ ở cơ sở; tham khảo ý kiến tổ chức đại diện người lao động);</w:t>
      </w:r>
    </w:p>
    <w:p>
      <w:pPr>
        <w:spacing w:after="60" w:line="276"/>
        <w:jc w:val="both"/>
      </w:pPr>
      <w:r>
        <w:rPr>
          <w:rFonts w:ascii="Times New Roman" w:cs="Times New Roman" w:eastAsia="Times New Roman" w:hAnsi="Times New Roman"/>
          <w:i/>
          <w:iCs/>
          <w:sz w:val="24"/>
          <w:szCs w:val="24"/>
        </w:rPr>
        <w:t xml:space="preserve">Căn cứ Luật Thuế thu nhập doanh nghiệp số 67/2025/QH15 (có hiệu lực từ 01/10/2025, áp dụng từ kỳ tính thuế năm 2025);</w:t>
      </w:r>
    </w:p>
    <w:p>
      <w:pPr>
        <w:spacing w:after="60" w:line="276"/>
        <w:jc w:val="both"/>
      </w:pPr>
      <w:r>
        <w:rPr>
          <w:rFonts w:ascii="Times New Roman" w:cs="Times New Roman" w:eastAsia="Times New Roman" w:hAnsi="Times New Roman"/>
          <w:i/>
          <w:iCs/>
          <w:sz w:val="24"/>
          <w:szCs w:val="24"/>
        </w:rPr>
        <w:t xml:space="preserve">Căn cứ Nghị định số 320/2025/NĐ-CP quy định chi tiết thi hành một số điều của Luật Thuế thu nhập doanh nghiệp (có hiệu lực từ 15/12/2025, áp dụng từ kỳ tính thuế năm 2025);</w:t>
      </w:r>
    </w:p>
    <w:p>
      <w:pPr>
        <w:spacing w:after="60" w:line="276"/>
        <w:jc w:val="both"/>
      </w:pPr>
      <w:r>
        <w:rPr>
          <w:rFonts w:ascii="Times New Roman" w:cs="Times New Roman" w:eastAsia="Times New Roman" w:hAnsi="Times New Roman"/>
          <w:i/>
          <w:iCs/>
          <w:sz w:val="24"/>
          <w:szCs w:val="24"/>
        </w:rPr>
        <w:t xml:space="preserve">Căn cứ Luật Thuế thu nhập cá nhân số 109/2025/QH15 (áp dụng đối với thu nhập từ tiền lương, tiền công từ kỳ tính thuế năm 2026) và các văn bản hướng dẫn;</w:t>
      </w:r>
    </w:p>
    <w:p>
      <w:pPr>
        <w:spacing w:after="60" w:line="276"/>
        <w:jc w:val="both"/>
      </w:pPr>
      <w:r>
        <w:rPr>
          <w:rFonts w:ascii="Times New Roman" w:cs="Times New Roman" w:eastAsia="Times New Roman" w:hAnsi="Times New Roman"/>
          <w:i/>
          <w:iCs/>
          <w:sz w:val="24"/>
          <w:szCs w:val="24"/>
        </w:rPr>
        <w:t xml:space="preserve">Căn cứ Nghị định số 181/2025/NĐ-CP quy định chi tiết thi hành một số điều của Luật Thuế giá trị gia tăng (điều kiện chứng từ thanh toán không dùng tiền mặt);</w:t>
      </w:r>
    </w:p>
    <w:p>
      <w:pPr>
        <w:spacing w:after="60" w:line="276"/>
        <w:jc w:val="both"/>
      </w:pPr>
      <w:r>
        <w:rPr>
          <w:rFonts w:ascii="Times New Roman" w:cs="Times New Roman" w:eastAsia="Times New Roman" w:hAnsi="Times New Roman"/>
          <w:i/>
          <w:iCs/>
          <w:sz w:val="24"/>
          <w:szCs w:val="24"/>
        </w:rPr>
        <w:t xml:space="preserve">Căn cứ Thông tư số 99/2025/TT-BTC về chế độ kế toán doanh nghiệp (áp dụng từ 01/01/2026);</w:t>
      </w:r>
    </w:p>
    <w:p>
      <w:pPr>
        <w:spacing w:after="60" w:line="276"/>
        <w:jc w:val="both"/>
      </w:pPr>
      <w:r>
        <w:rPr>
          <w:rFonts w:ascii="Times New Roman" w:cs="Times New Roman" w:eastAsia="Times New Roman" w:hAnsi="Times New Roman"/>
          <w:i/>
          <w:iCs/>
          <w:sz w:val="24"/>
          <w:szCs w:val="24"/>
        </w:rPr>
        <w:t xml:space="preserve">Căn cứ Điều lệ tổ chức và hoạt động của Công ty; Thỏa ước lao động tập thể (nếu có);</w:t>
      </w:r>
    </w:p>
    <w:p>
      <w:pPr>
        <w:spacing w:after="60" w:line="276"/>
        <w:jc w:val="both"/>
      </w:pPr>
      <w:r>
        <w:rPr>
          <w:rFonts w:ascii="Times New Roman" w:cs="Times New Roman" w:eastAsia="Times New Roman" w:hAnsi="Times New Roman"/>
          <w:i/>
          <w:iCs/>
          <w:sz w:val="24"/>
          <w:szCs w:val="24"/>
        </w:rPr>
        <w:t xml:space="preserve">Theo đề nghị của Trưởng phòng Tài chính – Kế toán và sau khi tham khảo ý kiến của Ban Chấp hành Công đoàn cơ sở.</w:t>
      </w:r>
    </w:p>
    <w:p>
      <w:pPr>
        <w:spacing w:after="100" w:before="140"/>
        <w:jc w:val="center"/>
      </w:pPr>
      <w:r>
        <w:rPr>
          <w:rFonts w:ascii="Times New Roman" w:cs="Times New Roman" w:eastAsia="Times New Roman" w:hAnsi="Times New Roman"/>
          <w:b/>
          <w:bCs/>
          <w:sz w:val="26"/>
          <w:szCs w:val="26"/>
        </w:rPr>
        <w:t xml:space="preserve">QUYẾT ĐỊNH:</w:t>
      </w:r>
    </w:p>
    <w:p>
      <w:pPr>
        <w:spacing w:after="120" w:before="0" w:line="276"/>
        <w:jc w:val="both"/>
      </w:pPr>
      <w:r>
        <w:rPr>
          <w:rFonts w:ascii="Times New Roman" w:cs="Times New Roman" w:eastAsia="Times New Roman" w:hAnsi="Times New Roman"/>
          <w:b/>
          <w:bCs/>
        </w:rPr>
        <w:t xml:space="preserve">Điều 1. </w:t>
      </w:r>
      <w:r>
        <w:rPr>
          <w:rFonts w:ascii="Times New Roman" w:cs="Times New Roman" w:eastAsia="Times New Roman" w:hAnsi="Times New Roman"/>
        </w:rPr>
        <w:t xml:space="preserve">Ban hành kèm theo Quyết định này Quy chế chi phúc lợi cho người lao động của Công ty [CẦN ĐIỀN].</w:t>
      </w:r>
    </w:p>
    <w:p>
      <w:pPr>
        <w:spacing w:after="120" w:before="0" w:line="276"/>
        <w:jc w:val="both"/>
      </w:pPr>
      <w:r>
        <w:rPr>
          <w:rFonts w:ascii="Times New Roman" w:cs="Times New Roman" w:eastAsia="Times New Roman" w:hAnsi="Times New Roman"/>
          <w:b/>
          <w:bCs/>
        </w:rPr>
        <w:t xml:space="preserve">Điều 2. </w:t>
      </w:r>
      <w:r>
        <w:rPr>
          <w:rFonts w:ascii="Times New Roman" w:cs="Times New Roman" w:eastAsia="Times New Roman" w:hAnsi="Times New Roman"/>
        </w:rPr>
        <w:t xml:space="preserve">Quyết định này có hiệu lực thi hành kể từ ngày ký. Quy chế được áp dụng thống nhất trong toàn Công ty kể từ kỳ tính thuế năm [NĂM].</w:t>
      </w:r>
    </w:p>
    <w:p>
      <w:pPr>
        <w:spacing w:after="120" w:before="0" w:line="276"/>
        <w:jc w:val="both"/>
      </w:pPr>
      <w:r>
        <w:rPr>
          <w:rFonts w:ascii="Times New Roman" w:cs="Times New Roman" w:eastAsia="Times New Roman" w:hAnsi="Times New Roman"/>
          <w:b/>
          <w:bCs/>
        </w:rPr>
        <w:t xml:space="preserve">Điều 3. </w:t>
      </w:r>
      <w:r>
        <w:rPr>
          <w:rFonts w:ascii="Times New Roman" w:cs="Times New Roman" w:eastAsia="Times New Roman" w:hAnsi="Times New Roman"/>
        </w:rPr>
        <w:t xml:space="preserve">Trưởng các phòng, ban, bộ phận; Ban Chấp hành Công đoàn cơ sở và toàn thể người lao động chịu trách nhiệm thi hành Quyết định này.</w:t>
      </w:r>
    </w:p>
    <w:tbl>
      <w:tblPr>
        <w:tblW w:type="dxa" w:w="9355"/>
        <w:tblBorders>
          <w:top w:val="none"/>
          <w:left w:val="none"/>
          <w:bottom w:val="none"/>
          <w:right w:val="none"/>
          <w:insideH w:val="none"/>
          <w:insideV w:val="none"/>
        </w:tblBorders>
      </w:tblPr>
      <w:tblGrid>
        <w:gridCol w:w="4677"/>
        <w:gridCol w:w="4678"/>
      </w:tblGrid>
      <w:tr>
        <w:tc>
          <w:tcPr>
            <w:tcW w:type="dxa" w:w="4677"/>
            <w:tcBorders>
              <w:top w:val="none"/>
              <w:left w:val="none"/>
              <w:bottom w:val="none"/>
              <w:right w:val="none"/>
            </w:tcBorders>
          </w:tcPr>
          <w:p>
            <w:pPr>
              <w:spacing w:before="12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i/>
                <w:iCs/>
                <w:sz w:val="22"/>
                <w:szCs w:val="22"/>
              </w:rPr>
              <w:t xml:space="preserve">- Như Điều 3;</w:t>
            </w:r>
          </w:p>
          <w:p>
            <w:r>
              <w:rPr>
                <w:rFonts w:ascii="Times New Roman" w:cs="Times New Roman" w:eastAsia="Times New Roman" w:hAnsi="Times New Roman"/>
                <w:i/>
                <w:iCs/>
                <w:sz w:val="22"/>
                <w:szCs w:val="22"/>
              </w:rPr>
              <w:t xml:space="preserve">- Ban Giám đốc;</w:t>
            </w:r>
          </w:p>
          <w:p>
            <w:r>
              <w:rPr>
                <w:rFonts w:ascii="Times New Roman" w:cs="Times New Roman" w:eastAsia="Times New Roman" w:hAnsi="Times New Roman"/>
                <w:i/>
                <w:iCs/>
                <w:sz w:val="22"/>
                <w:szCs w:val="22"/>
              </w:rPr>
              <w:t xml:space="preserve">- Công đoàn cơ sở;</w:t>
            </w:r>
          </w:p>
          <w:p>
            <w:r>
              <w:rPr>
                <w:rFonts w:ascii="Times New Roman" w:cs="Times New Roman" w:eastAsia="Times New Roman" w:hAnsi="Times New Roman"/>
                <w:i/>
                <w:iCs/>
                <w:sz w:val="22"/>
                <w:szCs w:val="22"/>
              </w:rPr>
              <w:t xml:space="preserve">- Lưu: VT, TCKT.</w:t>
            </w:r>
          </w:p>
        </w:tc>
        <w:tc>
          <w:tcPr>
            <w:tcW w:type="dxa" w:w="4678"/>
            <w:tcBorders>
              <w:top w:val="none"/>
              <w:left w:val="none"/>
              <w:bottom w:val="none"/>
              <w:right w:val="none"/>
            </w:tcBorders>
          </w:tcPr>
          <w:p>
            <w:pPr>
              <w:spacing w:before="120"/>
              <w:jc w:val="center"/>
            </w:pPr>
            <w:r>
              <w:rPr>
                <w:rFonts w:ascii="Times New Roman" w:cs="Times New Roman" w:eastAsia="Times New Roman" w:hAnsi="Times New Roman"/>
                <w:b/>
                <w:bCs/>
                <w:sz w:val="24"/>
                <w:szCs w:val="24"/>
              </w:rPr>
              <w:t xml:space="preserve">GIÁM ĐỐC</w:t>
            </w:r>
          </w:p>
          <w:p>
            <w:pPr>
              <w:jc w:val="center"/>
            </w:pPr>
            <w:r>
              <w:rPr>
                <w:rFonts w:ascii="Times New Roman" w:cs="Times New Roman" w:eastAsia="Times New Roman" w:hAnsi="Times New Roman"/>
                <w:i/>
                <w:iCs/>
                <w:sz w:val="20"/>
                <w:szCs w:val="20"/>
              </w:rPr>
              <w:t xml:space="preserve">(Ký, ghi rõ họ tên, đóng dấu)</w:t>
            </w:r>
          </w:p>
          <w:p>
            <w:pPr>
              <w:spacing w:before="700"/>
              <w:jc w:val="center"/>
            </w:pPr>
            <w:r>
              <w:rPr>
                <w:rFonts w:ascii="Times New Roman" w:cs="Times New Roman" w:eastAsia="Times New Roman" w:hAnsi="Times New Roman"/>
                <w:b/>
                <w:bCs/>
                <w:sz w:val="24"/>
                <w:szCs w:val="24"/>
              </w:rPr>
              <w:t xml:space="preserve">[CẦN ĐIỀN]</w:t>
            </w:r>
          </w:p>
        </w:tc>
      </w:tr>
    </w:tbl>
    <w:p>
      <w:pPr>
        <w:pageBreakBefore/>
      </w:pPr>
      <w:r>
        <w:rPr>
          <w:rFonts w:ascii="Times New Roman" w:cs="Times New Roman" w:eastAsia="Times New Roman" w:hAnsi="Times New Roman"/>
        </w:rPr>
        <w:t xml:space="preserve"/>
      </w:r>
    </w:p>
    <w:p>
      <w:pPr>
        <w:spacing w:after="20"/>
        <w:jc w:val="center"/>
      </w:pPr>
      <w:r>
        <w:rPr>
          <w:rFonts w:ascii="Times New Roman" w:cs="Times New Roman" w:eastAsia="Times New Roman" w:hAnsi="Times New Roman"/>
          <w:b/>
          <w:bCs/>
          <w:color w:val="9E1B1B"/>
          <w:sz w:val="34"/>
          <w:szCs w:val="34"/>
        </w:rPr>
        <w:t xml:space="preserve">QUY CHẾ</w:t>
      </w:r>
    </w:p>
    <w:p>
      <w:pPr>
        <w:spacing w:after="20"/>
        <w:jc w:val="center"/>
      </w:pPr>
      <w:r>
        <w:rPr>
          <w:rFonts w:ascii="Times New Roman" w:cs="Times New Roman" w:eastAsia="Times New Roman" w:hAnsi="Times New Roman"/>
          <w:b/>
          <w:bCs/>
          <w:sz w:val="28"/>
          <w:szCs w:val="28"/>
        </w:rPr>
        <w:t xml:space="preserve">CHI PHÚC LỢI CHO NGƯỜI LAO ĐỘNG</w:t>
      </w:r>
    </w:p>
    <w:p>
      <w:pPr>
        <w:spacing w:after="60"/>
        <w:jc w:val="center"/>
      </w:pPr>
      <w:r>
        <w:rPr>
          <w:rFonts w:ascii="Times New Roman" w:cs="Times New Roman" w:eastAsia="Times New Roman" w:hAnsi="Times New Roman"/>
          <w:i/>
          <w:iCs/>
          <w:sz w:val="22"/>
          <w:szCs w:val="22"/>
        </w:rPr>
        <w:t xml:space="preserve">(Ban hành kèm theo Quyết định số ......../[NĂM]/QC-[CẦN ĐIỀN] ngày …/…/[NĂM] của Giám đốc Công ty [CẦN ĐIỀN])</w:t>
      </w:r>
    </w:p>
    <w:p>
      <w:pPr>
        <w:pBdr>
          <w:bottom w:val="single" w:color="9E1B1B" w:sz="6"/>
        </w:pBdr>
        <w:spacing w:after="180"/>
      </w:pPr>
      <w:r>
        <w:rPr>
          <w:rFonts w:ascii="Times New Roman" w:cs="Times New Roman" w:eastAsia="Times New Roman" w:hAnsi="Times New Roman"/>
        </w:rPr>
        <w:t xml:space="preserve"/>
      </w:r>
    </w:p>
    <w:p>
      <w:pPr>
        <w:spacing w:after="40" w:before="260"/>
        <w:jc w:val="center"/>
      </w:pPr>
      <w:r>
        <w:rPr>
          <w:rFonts w:ascii="Times New Roman" w:cs="Times New Roman" w:eastAsia="Times New Roman" w:hAnsi="Times New Roman"/>
          <w:b/>
          <w:bCs/>
          <w:sz w:val="27"/>
          <w:szCs w:val="27"/>
        </w:rPr>
        <w:t xml:space="preserve">CHƯƠNG I</w:t>
      </w:r>
    </w:p>
    <w:p>
      <w:pPr>
        <w:spacing w:after="120"/>
        <w:jc w:val="center"/>
      </w:pPr>
      <w:r>
        <w:rPr>
          <w:rFonts w:ascii="Times New Roman" w:cs="Times New Roman" w:eastAsia="Times New Roman" w:hAnsi="Times New Roman"/>
          <w:b/>
          <w:bCs/>
          <w:color w:val="9E1B1B"/>
          <w:sz w:val="27"/>
          <w:szCs w:val="27"/>
        </w:rPr>
        <w:t xml:space="preserve">QUY ĐỊNH CHUNG</w:t>
      </w:r>
    </w:p>
    <w:p>
      <w:pPr>
        <w:spacing w:after="80" w:before="160" w:line="276"/>
      </w:pPr>
      <w:r>
        <w:rPr>
          <w:rFonts w:ascii="Times New Roman" w:cs="Times New Roman" w:eastAsia="Times New Roman" w:hAnsi="Times New Roman"/>
          <w:b/>
          <w:bCs/>
          <w:sz w:val="26"/>
          <w:szCs w:val="26"/>
        </w:rPr>
        <w:t xml:space="preserve">Điều 1. </w:t>
      </w:r>
      <w:r>
        <w:rPr>
          <w:rFonts w:ascii="Times New Roman" w:cs="Times New Roman" w:eastAsia="Times New Roman" w:hAnsi="Times New Roman"/>
          <w:b/>
          <w:bCs/>
          <w:sz w:val="26"/>
          <w:szCs w:val="26"/>
        </w:rPr>
        <w:t xml:space="preserve">Phạm vi điều chỉnh</w:t>
      </w:r>
    </w:p>
    <w:p>
      <w:pPr>
        <w:spacing w:after="120" w:before="0" w:line="276"/>
        <w:jc w:val="both"/>
      </w:pPr>
      <w:r>
        <w:rPr>
          <w:rFonts w:ascii="Times New Roman" w:cs="Times New Roman" w:eastAsia="Times New Roman" w:hAnsi="Times New Roman"/>
          <w:sz w:val="26"/>
          <w:szCs w:val="26"/>
        </w:rPr>
        <w:t xml:space="preserve">Quy chế này quy định nguyên tắc, danh mục các khoản chi phúc lợi, điều kiện hưởng, mức chi, hồ sơ – chứng từ, nguồn kinh phí, mức khống chế khi tính thuế thu nhập doanh nghiệp (TNDN), nghĩa vụ thuế thu nhập cá nhân (TNCN) liên quan và quy trình đề nghị – phê duyệt – chi trả các khoản phúc lợi cho người lao động tại Công ty [CẦN ĐIỀN] (sau đây gọi là “Công ty”).</w:t>
      </w:r>
    </w:p>
    <w:p>
      <w:pPr>
        <w:spacing w:after="80" w:before="160" w:line="276"/>
      </w:pPr>
      <w:r>
        <w:rPr>
          <w:rFonts w:ascii="Times New Roman" w:cs="Times New Roman" w:eastAsia="Times New Roman" w:hAnsi="Times New Roman"/>
          <w:b/>
          <w:bCs/>
          <w:sz w:val="26"/>
          <w:szCs w:val="26"/>
        </w:rPr>
        <w:t xml:space="preserve">Điều 2. </w:t>
      </w:r>
      <w:r>
        <w:rPr>
          <w:rFonts w:ascii="Times New Roman" w:cs="Times New Roman" w:eastAsia="Times New Roman" w:hAnsi="Times New Roman"/>
          <w:b/>
          <w:bCs/>
          <w:sz w:val="26"/>
          <w:szCs w:val="26"/>
        </w:rPr>
        <w:t xml:space="preserve">Đối tượng áp dụng</w:t>
      </w:r>
    </w:p>
    <w:p>
      <w:pPr>
        <w:spacing w:after="120" w:before="0" w:line="276"/>
        <w:jc w:val="both"/>
      </w:pPr>
      <w:r>
        <w:rPr>
          <w:rFonts w:ascii="Times New Roman" w:cs="Times New Roman" w:eastAsia="Times New Roman" w:hAnsi="Times New Roman"/>
        </w:rPr>
        <w:t xml:space="preserve">1. Người lao động ký hợp đồng lao động từ đủ 01 tháng trở lên và đang làm việc thực tế tại Công ty tại thời điểm phát sinh khoản phúc lợi.</w:t>
      </w:r>
    </w:p>
    <w:p>
      <w:pPr>
        <w:spacing w:after="120" w:before="0" w:line="276"/>
        <w:jc w:val="both"/>
      </w:pPr>
      <w:r>
        <w:rPr>
          <w:rFonts w:ascii="Times New Roman" w:cs="Times New Roman" w:eastAsia="Times New Roman" w:hAnsi="Times New Roman"/>
        </w:rPr>
        <w:t xml:space="preserve">2. Các phòng, ban, bộ phận và cá nhân có liên quan đến việc đề nghị, phê duyệt, chi trả và hạch toán các khoản phúc lợi.</w:t>
      </w:r>
    </w:p>
    <w:p>
      <w:pPr>
        <w:spacing w:after="120" w:before="0" w:line="276"/>
        <w:jc w:val="both"/>
      </w:pPr>
      <w:r>
        <w:rPr>
          <w:rFonts w:ascii="Times New Roman" w:cs="Times New Roman" w:eastAsia="Times New Roman" w:hAnsi="Times New Roman"/>
        </w:rPr>
        <w:t xml:space="preserve">3. Trường hợp không thuộc đối tượng áp dụng: người thử việc (trừ khi Công ty có quy định riêng), cộng tác viên, người làm việc theo hợp đồng dịch vụ/khoán việc, trừ khi được Giám đốc quyết định cụ thể.</w:t>
      </w:r>
    </w:p>
    <w:p>
      <w:pPr>
        <w:spacing w:after="80" w:before="160" w:line="276"/>
      </w:pPr>
      <w:r>
        <w:rPr>
          <w:rFonts w:ascii="Times New Roman" w:cs="Times New Roman" w:eastAsia="Times New Roman" w:hAnsi="Times New Roman"/>
          <w:b/>
          <w:bCs/>
          <w:sz w:val="26"/>
          <w:szCs w:val="26"/>
        </w:rPr>
        <w:t xml:space="preserve">Điều 3. </w:t>
      </w:r>
      <w:r>
        <w:rPr>
          <w:rFonts w:ascii="Times New Roman" w:cs="Times New Roman" w:eastAsia="Times New Roman" w:hAnsi="Times New Roman"/>
          <w:b/>
          <w:bCs/>
          <w:sz w:val="26"/>
          <w:szCs w:val="26"/>
        </w:rPr>
        <w:t xml:space="preserve">Giải thích từ ngữ</w:t>
      </w:r>
    </w:p>
    <w:p>
      <w:pPr>
        <w:spacing w:after="120" w:before="0" w:line="276"/>
        <w:jc w:val="both"/>
      </w:pPr>
      <w:r>
        <w:rPr>
          <w:rFonts w:ascii="Times New Roman" w:cs="Times New Roman" w:eastAsia="Times New Roman" w:hAnsi="Times New Roman"/>
          <w:b/>
          <w:bCs/>
        </w:rPr>
        <w:t xml:space="preserve">1. Chi phúc lợi: </w:t>
      </w:r>
      <w:r>
        <w:rPr>
          <w:rFonts w:ascii="Times New Roman" w:cs="Times New Roman" w:eastAsia="Times New Roman" w:hAnsi="Times New Roman"/>
        </w:rPr>
        <w:t xml:space="preserve">là các khoản chi có tính chất phúc lợi chi trực tiếp cho người lao động theo quy định tại điểm d khoản 4 Điều 10 Nghị định số 320/2025/NĐ-CP, được ghi cụ thể trong Quy chế này.</w:t>
      </w:r>
    </w:p>
    <w:p>
      <w:pPr>
        <w:spacing w:after="120" w:before="0" w:line="276"/>
        <w:jc w:val="both"/>
      </w:pPr>
      <w:r>
        <w:rPr>
          <w:rFonts w:ascii="Times New Roman" w:cs="Times New Roman" w:eastAsia="Times New Roman" w:hAnsi="Times New Roman"/>
          <w:b/>
          <w:bCs/>
        </w:rPr>
        <w:t xml:space="preserve">2. Quỹ tiền lương thực hiện: </w:t>
      </w:r>
      <w:r>
        <w:rPr>
          <w:rFonts w:ascii="Times New Roman" w:cs="Times New Roman" w:eastAsia="Times New Roman" w:hAnsi="Times New Roman"/>
        </w:rPr>
        <w:t xml:space="preserve">là tổng số tiền lương thực tế đã chi trả cho người lao động trong năm tính thuế, quyết toán đến thời hạn nộp hồ sơ quyết toán thuế TNDN (không bao gồm khoản trích lập dự phòng quỹ tiền lương của năm trước chi trong năm).</w:t>
      </w:r>
    </w:p>
    <w:p>
      <w:pPr>
        <w:spacing w:after="120" w:before="0" w:line="276"/>
        <w:jc w:val="both"/>
      </w:pPr>
      <w:r>
        <w:rPr>
          <w:rFonts w:ascii="Times New Roman" w:cs="Times New Roman" w:eastAsia="Times New Roman" w:hAnsi="Times New Roman"/>
          <w:b/>
          <w:bCs/>
        </w:rPr>
        <w:t xml:space="preserve">3. 01 tháng lương bình quân thực tế: </w:t>
      </w:r>
      <w:r>
        <w:rPr>
          <w:rFonts w:ascii="Times New Roman" w:cs="Times New Roman" w:eastAsia="Times New Roman" w:hAnsi="Times New Roman"/>
        </w:rPr>
        <w:t xml:space="preserve">là mức xác định theo công thức tại Điều 9 Quy chế này, dùng làm giới hạn tổng chi phúc lợi được trừ khi tính thuế TNDN.</w:t>
      </w:r>
    </w:p>
    <w:p>
      <w:pPr>
        <w:spacing w:after="120" w:before="0" w:line="276"/>
        <w:jc w:val="both"/>
      </w:pPr>
      <w:r>
        <w:rPr>
          <w:rFonts w:ascii="Times New Roman" w:cs="Times New Roman" w:eastAsia="Times New Roman" w:hAnsi="Times New Roman"/>
          <w:b/>
          <w:bCs/>
        </w:rPr>
        <w:t xml:space="preserve">4. Thân nhân: </w:t>
      </w:r>
      <w:r>
        <w:rPr>
          <w:rFonts w:ascii="Times New Roman" w:cs="Times New Roman" w:eastAsia="Times New Roman" w:hAnsi="Times New Roman"/>
        </w:rPr>
        <w:t xml:space="preserve">gồm bố, mẹ đẻ; bố, mẹ vợ/chồng; vợ/chồng; con đẻ, con nuôi hợp pháp của người lao động, trừ trường hợp Quy chế quy định khác đối với từng khoản.</w:t>
      </w:r>
    </w:p>
    <w:p>
      <w:pPr>
        <w:spacing w:after="80" w:before="160" w:line="276"/>
      </w:pPr>
      <w:r>
        <w:rPr>
          <w:rFonts w:ascii="Times New Roman" w:cs="Times New Roman" w:eastAsia="Times New Roman" w:hAnsi="Times New Roman"/>
          <w:b/>
          <w:bCs/>
          <w:sz w:val="26"/>
          <w:szCs w:val="26"/>
        </w:rPr>
        <w:t xml:space="preserve">Điều 4. </w:t>
      </w:r>
      <w:r>
        <w:rPr>
          <w:rFonts w:ascii="Times New Roman" w:cs="Times New Roman" w:eastAsia="Times New Roman" w:hAnsi="Times New Roman"/>
          <w:b/>
          <w:bCs/>
          <w:sz w:val="26"/>
          <w:szCs w:val="26"/>
        </w:rPr>
        <w:t xml:space="preserve">Nguyên tắc chi phúc lợi</w:t>
      </w:r>
    </w:p>
    <w:p>
      <w:pPr>
        <w:spacing w:after="120" w:before="0" w:line="276"/>
        <w:ind w:left="360"/>
        <w:jc w:val="both"/>
      </w:pPr>
      <w:r>
        <w:rPr>
          <w:rFonts w:ascii="Times New Roman" w:cs="Times New Roman" w:eastAsia="Times New Roman" w:hAnsi="Times New Roman"/>
          <w:b/>
          <w:bCs/>
        </w:rPr>
        <w:t xml:space="preserve">1. </w:t>
      </w:r>
      <w:r>
        <w:rPr>
          <w:rFonts w:ascii="Times New Roman" w:cs="Times New Roman" w:eastAsia="Times New Roman" w:hAnsi="Times New Roman"/>
        </w:rPr>
        <w:t xml:space="preserve">Công khai, minh bạch, đúng đối tượng, đúng mức chi và trong phạm vi nguồn kinh phí đã được phê duyệt.</w:t>
      </w:r>
    </w:p>
    <w:p>
      <w:pPr>
        <w:spacing w:after="120" w:before="0" w:line="276"/>
        <w:ind w:left="360"/>
        <w:jc w:val="both"/>
      </w:pPr>
      <w:r>
        <w:rPr>
          <w:rFonts w:ascii="Times New Roman" w:cs="Times New Roman" w:eastAsia="Times New Roman" w:hAnsi="Times New Roman"/>
          <w:b/>
          <w:bCs/>
        </w:rPr>
        <w:t xml:space="preserve">2. </w:t>
      </w:r>
      <w:r>
        <w:rPr>
          <w:rFonts w:ascii="Times New Roman" w:cs="Times New Roman" w:eastAsia="Times New Roman" w:hAnsi="Times New Roman"/>
        </w:rPr>
        <w:t xml:space="preserve">Mọi khoản chi phải có đầy đủ hồ sơ, chứng từ hợp pháp; khoản chi có hóa đơn giá trị từ 5.000.000 đồng trở lên (đã bao gồm thuế GTGT) phải thanh toán không dùng tiền mặt theo quy định.</w:t>
      </w:r>
    </w:p>
    <w:p>
      <w:pPr>
        <w:spacing w:after="120" w:before="0" w:line="276"/>
        <w:ind w:left="360"/>
        <w:jc w:val="both"/>
      </w:pPr>
      <w:r>
        <w:rPr>
          <w:rFonts w:ascii="Times New Roman" w:cs="Times New Roman" w:eastAsia="Times New Roman" w:hAnsi="Times New Roman"/>
          <w:b/>
          <w:bCs/>
        </w:rPr>
        <w:t xml:space="preserve">3. </w:t>
      </w:r>
      <w:r>
        <w:rPr>
          <w:rFonts w:ascii="Times New Roman" w:cs="Times New Roman" w:eastAsia="Times New Roman" w:hAnsi="Times New Roman"/>
        </w:rPr>
        <w:t xml:space="preserve">Tổng các khoản chi phúc lợi trong năm không vượt quá 01 tháng lương bình quân thực tế thực hiện trong năm tính thuế để bảo đảm được trừ khi xác định thu nhập chịu thuế TNDN.</w:t>
      </w:r>
    </w:p>
    <w:p>
      <w:pPr>
        <w:spacing w:after="120" w:before="0" w:line="276"/>
        <w:ind w:left="360"/>
        <w:jc w:val="both"/>
      </w:pPr>
      <w:r>
        <w:rPr>
          <w:rFonts w:ascii="Times New Roman" w:cs="Times New Roman" w:eastAsia="Times New Roman" w:hAnsi="Times New Roman"/>
          <w:b/>
          <w:bCs/>
        </w:rPr>
        <w:t xml:space="preserve">4. </w:t>
      </w:r>
      <w:r>
        <w:rPr>
          <w:rFonts w:ascii="Times New Roman" w:cs="Times New Roman" w:eastAsia="Times New Roman" w:hAnsi="Times New Roman"/>
        </w:rPr>
        <w:t xml:space="preserve">Xác định và thực hiện đầy đủ nghĩa vụ khấu trừ, kê khai thuế TNCN đối với các khoản phúc lợi thuộc diện chịu thuế theo quy định của pháp luật.</w:t>
      </w:r>
    </w:p>
    <w:p>
      <w:pPr>
        <w:spacing w:after="120" w:before="0" w:line="276"/>
        <w:ind w:left="360"/>
        <w:jc w:val="both"/>
      </w:pPr>
      <w:r>
        <w:rPr>
          <w:rFonts w:ascii="Times New Roman" w:cs="Times New Roman" w:eastAsia="Times New Roman" w:hAnsi="Times New Roman"/>
          <w:b/>
          <w:bCs/>
        </w:rPr>
        <w:t xml:space="preserve">5. </w:t>
      </w:r>
      <w:r>
        <w:rPr>
          <w:rFonts w:ascii="Times New Roman" w:cs="Times New Roman" w:eastAsia="Times New Roman" w:hAnsi="Times New Roman"/>
        </w:rPr>
        <w:t xml:space="preserve">Việc xây dựng, sửa đổi Quy chế được tham khảo ý kiến của Ban Chấp hành Công đoàn cơ sở trước khi ban hành.</w:t>
      </w:r>
    </w:p>
    <w:p>
      <w:pPr>
        <w:spacing w:after="40" w:before="260"/>
        <w:jc w:val="center"/>
      </w:pPr>
      <w:r>
        <w:rPr>
          <w:rFonts w:ascii="Times New Roman" w:cs="Times New Roman" w:eastAsia="Times New Roman" w:hAnsi="Times New Roman"/>
          <w:b/>
          <w:bCs/>
          <w:sz w:val="27"/>
          <w:szCs w:val="27"/>
        </w:rPr>
        <w:t xml:space="preserve">CHƯƠNG II</w:t>
      </w:r>
    </w:p>
    <w:p>
      <w:pPr>
        <w:spacing w:after="120"/>
        <w:jc w:val="center"/>
      </w:pPr>
      <w:r>
        <w:rPr>
          <w:rFonts w:ascii="Times New Roman" w:cs="Times New Roman" w:eastAsia="Times New Roman" w:hAnsi="Times New Roman"/>
          <w:b/>
          <w:bCs/>
          <w:color w:val="9E1B1B"/>
          <w:sz w:val="27"/>
          <w:szCs w:val="27"/>
        </w:rPr>
        <w:t xml:space="preserve">DANH MỤC CÁC KHOẢN CHI PHÚC LỢI</w:t>
      </w:r>
    </w:p>
    <w:p>
      <w:pPr>
        <w:spacing w:after="80" w:before="160" w:line="276"/>
      </w:pPr>
      <w:r>
        <w:rPr>
          <w:rFonts w:ascii="Times New Roman" w:cs="Times New Roman" w:eastAsia="Times New Roman" w:hAnsi="Times New Roman"/>
          <w:b/>
          <w:bCs/>
          <w:sz w:val="26"/>
          <w:szCs w:val="26"/>
        </w:rPr>
        <w:t xml:space="preserve">Điều 5. </w:t>
      </w:r>
      <w:r>
        <w:rPr>
          <w:rFonts w:ascii="Times New Roman" w:cs="Times New Roman" w:eastAsia="Times New Roman" w:hAnsi="Times New Roman"/>
          <w:b/>
          <w:bCs/>
          <w:sz w:val="26"/>
          <w:szCs w:val="26"/>
        </w:rPr>
        <w:t xml:space="preserve">Danh mục khoản chi, điều kiện hưởng, mức chi và hồ sơ chứng từ</w:t>
      </w:r>
    </w:p>
    <w:p>
      <w:pPr>
        <w:spacing w:after="80" w:before="0" w:line="276"/>
        <w:jc w:val="both"/>
      </w:pPr>
      <w:r>
        <w:rPr>
          <w:rFonts w:ascii="Times New Roman" w:cs="Times New Roman" w:eastAsia="Times New Roman" w:hAnsi="Times New Roman"/>
          <w:sz w:val="26"/>
          <w:szCs w:val="26"/>
        </w:rPr>
        <w:t xml:space="preserve">Các khoản phúc lợi, điều kiện hưởng, mức chi và hồ sơ, chứng từ được quy định tại Bảng 1. Mức chi ghi [CẦN ĐIỀN] do Công ty quyết định phù hợp khả năng tài chính và giới hạn tại Điều 9.</w:t>
      </w:r>
    </w:p>
    <w:p>
      <w:pPr>
        <w:spacing w:after="60"/>
      </w:pPr>
      <w:r>
        <w:rPr>
          <w:rFonts w:ascii="Times New Roman" w:cs="Times New Roman" w:eastAsia="Times New Roman" w:hAnsi="Times New Roman"/>
          <w:b/>
          <w:bCs/>
          <w:i/>
          <w:iCs/>
          <w:sz w:val="22"/>
          <w:szCs w:val="22"/>
        </w:rPr>
        <w:t xml:space="preserve">Bảng 1 – Danh mục các khoản chi phúc lợi</w:t>
      </w:r>
    </w:p>
    <w:tbl>
      <w:tblPr>
        <w:tblW w:type="dxa" w:w="9355"/>
        <w:tblBorders>
          <w:top w:val="single" w:color="BBBBBB" w:sz="4"/>
          <w:left w:val="single" w:color="BBBBBB" w:sz="4"/>
          <w:bottom w:val="single" w:color="BBBBBB" w:sz="4"/>
          <w:right w:val="single" w:color="BBBBBB" w:sz="4"/>
          <w:insideH w:val="single" w:color="BBBBBB" w:sz="4"/>
          <w:insideV w:val="single" w:color="BBBBBB" w:sz="4"/>
        </w:tblBorders>
      </w:tblPr>
      <w:tblGrid>
        <w:gridCol w:w="520"/>
        <w:gridCol w:w="1760"/>
        <w:gridCol w:w="2500"/>
        <w:gridCol w:w="1975"/>
        <w:gridCol w:w="2600"/>
      </w:tblGrid>
      <w:tr>
        <w:trPr>
          <w:tblHeader/>
        </w:trPr>
        <w:tc>
          <w:tcPr>
            <w:tcW w:type="dxa" w:w="52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176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Khoản phúc lợi</w:t>
            </w:r>
          </w:p>
        </w:tc>
        <w:tc>
          <w:tcPr>
            <w:tcW w:type="dxa" w:w="25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Điều kiện hưởng</w:t>
            </w:r>
          </w:p>
        </w:tc>
        <w:tc>
          <w:tcPr>
            <w:tcW w:type="dxa" w:w="1975"/>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Mức chi</w:t>
            </w:r>
          </w:p>
        </w:tc>
        <w:tc>
          <w:tcPr>
            <w:tcW w:type="dxa" w:w="26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Hồ sơ, chứng từ</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1</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Hiếu, hỷ (ma chay, cưới hỏi) của người lao động và thân nhân</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NLĐ hoặc thân nhân theo Điều 3 kết hôn/qua đời; có xác nhận của bộ phận quản lý.</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[CẦN ĐIỀN] đồng/lần (gợi ý theo từng đối tượng)</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Giấy đề nghị (Mẫu 01); danh sách nhận (Mẫu 02); giấy báo tử/giấy đăng ký kết hôn hoặc thiệp/xác nhận; phiếu chi/ủy nhiệm chi.</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2</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Nghỉ mát, tham quan, du lịch, teambuilding</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Áp dụng cho tập thể NLĐ theo kế hoạch hằng năm được duyệt; ưu tiên chi qua hợp đồng dịch vụ.</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[CẦN ĐIỀN] đồng/người/năm hoặc theo dự toán chuyến đi</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Kế hoạch/dự toán được duyệt; hợp đồng, thanh lý, hóa đơn dịch vụ; danh sách tham gia; chứng từ thanh toán không dùng tiền mặt nếu hóa đơn ≥ 5 triệu.</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3</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Ốm đau, nằm viện, thai sản</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NLĐ ốm đau, điều trị nội trú, sinh con; có chứng từ y tế hoặc xác nhận.</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[CẦN ĐIỀN] đồng/lần</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Giấy đề nghị (Mẫu 01); bản chụp giấy ra viện/giấy chứng sinh/đơn thuốc; danh sách nhận (Mẫu 02); phiếu chi/ủy nhiệm chi.</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4</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Sinh nhật, lễ, Tết, Trung thu, Quốc tế thiếu nhi 1/6</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NLĐ đang làm việc tại thời điểm chi; quà 1/6, Trung thu áp dụng cho con NLĐ theo độ tuổi quy định.</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[CẦN ĐIỀN] đồng/người/dịp</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Quyết định/thông báo mức chi; danh sách nhận (Mẫu 02) có ký nhận; hóa đơn mua quà (nếu chi bằng hiện vật); chứng từ thanh toán không dùng tiền mặt nếu ≥ 5 triệu.</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5</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Hỗ trợ tiền ăn giữa ca và trang phục, đồng phục</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NLĐ làm việc thực tế; ăn ca tổ chức bữa ăn hoặc chi tiền theo định mức; trang phục cấp hiện vật hoặc chi tiền.</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Ăn ca: [CẦN ĐIỀN] đồng/tháng; trang phục: [CẦN ĐIỀN] đồng/năm</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Quy định định mức; bảng chấm công/danh sách; hóa đơn suất ăn hoặc mua trang phục; danh sách nhận (Mẫu 02).</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6</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Hỗ trợ nhà ở và chi phí đi lại dịp lễ, Tết</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NLĐ thuộc diện được hỗ trợ theo quyết định của Công ty; đưa đón tập thể hoặc hỗ trợ theo định mức.</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[CẦN ĐIỀN] đồng/người/tháng (nhà ở); [CẦN ĐIỀN] đồng/người/dịp (đi lại)</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Quyết định hỗ trợ; hợp đồng thuê nhà/hóa đơn (nếu Công ty trả thay); hợp đồng vận chuyển; danh sách nhận (Mẫu 02); chứng từ thanh toán không dùng tiền mặt nếu ≥ 5 triệu.</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7</w:t>
            </w:r>
          </w:p>
        </w:tc>
        <w:tc>
          <w:tcPr>
            <w:tcW w:type="dxa" w:w="176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Bảo hiểm tự nguyện cho người lao động</w:t>
            </w:r>
          </w:p>
        </w:tc>
        <w:tc>
          <w:tcPr>
            <w:tcW w:type="dxa" w:w="25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NLĐ thuộc đối tượng tham gia theo quyết định của Công ty (bảo hiểm sức khỏe, tai nạn, nhân thọ, hưu trí tự nguyện).</w:t>
            </w:r>
          </w:p>
        </w:tc>
        <w:tc>
          <w:tcPr>
            <w:tcW w:type="dxa" w:w="197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Theo hợp đồng bảo hiểm; [CẦN ĐIỀN] đồng/người/năm</w:t>
            </w:r>
          </w:p>
        </w:tc>
        <w:tc>
          <w:tcPr>
            <w:tcW w:type="dxa" w:w="2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Hợp đồng bảo hiểm; danh sách người được bảo hiểm; hóa đơn phí bảo hiểm; ủy nhiệm chi.</w:t>
            </w:r>
          </w:p>
        </w:tc>
      </w:tr>
    </w:tbl>
    <w:p>
      <w:pPr>
        <w:spacing w:after="120" w:before="60" w:line="276"/>
        <w:jc w:val="both"/>
      </w:pPr>
      <w:r>
        <w:rPr>
          <w:rFonts w:ascii="Times New Roman" w:cs="Times New Roman" w:eastAsia="Times New Roman" w:hAnsi="Times New Roman"/>
          <w:b/>
          <w:bCs/>
          <w:i/>
          <w:iCs/>
          <w:sz w:val="21"/>
          <w:szCs w:val="21"/>
        </w:rPr>
        <w:t xml:space="preserve">Ghi chú: </w:t>
      </w:r>
      <w:r>
        <w:rPr>
          <w:rFonts w:ascii="Times New Roman" w:cs="Times New Roman" w:eastAsia="Times New Roman" w:hAnsi="Times New Roman"/>
          <w:i/>
          <w:iCs/>
          <w:sz w:val="21"/>
          <w:szCs w:val="21"/>
        </w:rPr>
        <w:t xml:space="preserve">Mức chi cụ thể do Giám đốc quyết định trong dự toán được duyệt và phải bảo đảm giới hạn tại Điều 9. Các mức [CẦN ĐIỀN] được ban hành bằng phụ lục hoặc quyết định riêng, là bộ phận không tách rời của Quy chế này.</w:t>
      </w:r>
    </w:p>
    <w:p>
      <w:pPr>
        <w:spacing w:after="80" w:before="160" w:line="276"/>
      </w:pPr>
      <w:r>
        <w:rPr>
          <w:rFonts w:ascii="Times New Roman" w:cs="Times New Roman" w:eastAsia="Times New Roman" w:hAnsi="Times New Roman"/>
          <w:b/>
          <w:bCs/>
          <w:sz w:val="26"/>
          <w:szCs w:val="26"/>
        </w:rPr>
        <w:t xml:space="preserve">Điều 6. </w:t>
      </w:r>
      <w:r>
        <w:rPr>
          <w:rFonts w:ascii="Times New Roman" w:cs="Times New Roman" w:eastAsia="Times New Roman" w:hAnsi="Times New Roman"/>
          <w:b/>
          <w:bCs/>
          <w:sz w:val="26"/>
          <w:szCs w:val="26"/>
        </w:rPr>
        <w:t xml:space="preserve">Hồ sơ, chứng từ chung</w:t>
      </w:r>
    </w:p>
    <w:p>
      <w:pPr>
        <w:spacing w:after="120" w:before="0" w:line="276"/>
        <w:ind w:left="360"/>
        <w:jc w:val="both"/>
      </w:pPr>
      <w:r>
        <w:rPr>
          <w:rFonts w:ascii="Times New Roman" w:cs="Times New Roman" w:eastAsia="Times New Roman" w:hAnsi="Times New Roman"/>
          <w:b/>
          <w:bCs/>
        </w:rPr>
        <w:t xml:space="preserve">1. </w:t>
      </w:r>
      <w:r>
        <w:rPr>
          <w:rFonts w:ascii="Times New Roman" w:cs="Times New Roman" w:eastAsia="Times New Roman" w:hAnsi="Times New Roman"/>
        </w:rPr>
        <w:t xml:space="preserve">Giấy đề nghị chi phúc lợi (Mẫu 01) đã được phê duyệt.</w:t>
      </w:r>
    </w:p>
    <w:p>
      <w:pPr>
        <w:spacing w:after="120" w:before="0" w:line="276"/>
        <w:ind w:left="360"/>
        <w:jc w:val="both"/>
      </w:pPr>
      <w:r>
        <w:rPr>
          <w:rFonts w:ascii="Times New Roman" w:cs="Times New Roman" w:eastAsia="Times New Roman" w:hAnsi="Times New Roman"/>
          <w:b/>
          <w:bCs/>
        </w:rPr>
        <w:t xml:space="preserve">2. </w:t>
      </w:r>
      <w:r>
        <w:rPr>
          <w:rFonts w:ascii="Times New Roman" w:cs="Times New Roman" w:eastAsia="Times New Roman" w:hAnsi="Times New Roman"/>
        </w:rPr>
        <w:t xml:space="preserve">Danh sách người lao động nhận phúc lợi (Mẫu 02) có ký nhận hoặc chứng từ chuyển khoản đến từng người.</w:t>
      </w:r>
    </w:p>
    <w:p>
      <w:pPr>
        <w:spacing w:after="120" w:before="0" w:line="276"/>
        <w:ind w:left="360"/>
        <w:jc w:val="both"/>
      </w:pPr>
      <w:r>
        <w:rPr>
          <w:rFonts w:ascii="Times New Roman" w:cs="Times New Roman" w:eastAsia="Times New Roman" w:hAnsi="Times New Roman"/>
          <w:b/>
          <w:bCs/>
        </w:rPr>
        <w:t xml:space="preserve">3. </w:t>
      </w:r>
      <w:r>
        <w:rPr>
          <w:rFonts w:ascii="Times New Roman" w:cs="Times New Roman" w:eastAsia="Times New Roman" w:hAnsi="Times New Roman"/>
        </w:rPr>
        <w:t xml:space="preserve">Hóa đơn, chứng từ hợp pháp của khoản chi (nếu mua hàng hóa, dịch vụ); chứng từ thanh toán không dùng tiền mặt đối với hóa đơn có giá trị từ 5.000.000 đồng trở lên.</w:t>
      </w:r>
    </w:p>
    <w:p>
      <w:pPr>
        <w:spacing w:after="120" w:before="0" w:line="276"/>
        <w:ind w:left="360"/>
        <w:jc w:val="both"/>
      </w:pPr>
      <w:r>
        <w:rPr>
          <w:rFonts w:ascii="Times New Roman" w:cs="Times New Roman" w:eastAsia="Times New Roman" w:hAnsi="Times New Roman"/>
          <w:b/>
          <w:bCs/>
        </w:rPr>
        <w:t xml:space="preserve">4. </w:t>
      </w:r>
      <w:r>
        <w:rPr>
          <w:rFonts w:ascii="Times New Roman" w:cs="Times New Roman" w:eastAsia="Times New Roman" w:hAnsi="Times New Roman"/>
        </w:rPr>
        <w:t xml:space="preserve">Quy chế này và/hoặc quyết định, thông báo mức chi làm căn cứ thể hiện khoản chi có tính chất phúc lợi được quy định cụ thể.</w:t>
      </w:r>
    </w:p>
    <w:p>
      <w:pPr>
        <w:spacing w:after="80" w:before="160" w:line="276"/>
      </w:pPr>
      <w:r>
        <w:rPr>
          <w:rFonts w:ascii="Times New Roman" w:cs="Times New Roman" w:eastAsia="Times New Roman" w:hAnsi="Times New Roman"/>
          <w:b/>
          <w:bCs/>
          <w:sz w:val="26"/>
          <w:szCs w:val="26"/>
        </w:rPr>
        <w:t xml:space="preserve">Điều 7. </w:t>
      </w:r>
      <w:r>
        <w:rPr>
          <w:rFonts w:ascii="Times New Roman" w:cs="Times New Roman" w:eastAsia="Times New Roman" w:hAnsi="Times New Roman"/>
          <w:b/>
          <w:bCs/>
          <w:sz w:val="26"/>
          <w:szCs w:val="26"/>
        </w:rPr>
        <w:t xml:space="preserve">Xử lý thuế thu nhập cá nhân đối với các khoản phúc lợi</w:t>
      </w:r>
    </w:p>
    <w:p>
      <w:pPr>
        <w:spacing w:after="80" w:before="0" w:line="276"/>
        <w:jc w:val="both"/>
      </w:pPr>
      <w:r>
        <w:rPr>
          <w:rFonts w:ascii="Times New Roman" w:cs="Times New Roman" w:eastAsia="Times New Roman" w:hAnsi="Times New Roman"/>
          <w:sz w:val="26"/>
          <w:szCs w:val="26"/>
        </w:rPr>
        <w:t xml:space="preserve">Việc xác định khoản phúc lợi chịu/không chịu thuế TNCN thực hiện theo Bảng 2. Nguyên tắc chung: khoản chi mang tính phúc lợi tập thể, không xác định được người hưởng cụ thể thì không tính vào thu nhập chịu thuế TNCN; khoản chi bằng tiền/hiện vật cho từng cá nhân xác định được, về nguyên tắc là thu nhập từ tiền lương, tiền công và thuộc diện chịu thuế TNCN, trừ các khoản được miễn/không tính theo quy định.</w:t>
      </w:r>
    </w:p>
    <w:p>
      <w:pPr>
        <w:spacing w:after="60"/>
      </w:pPr>
      <w:r>
        <w:rPr>
          <w:rFonts w:ascii="Times New Roman" w:cs="Times New Roman" w:eastAsia="Times New Roman" w:hAnsi="Times New Roman"/>
          <w:b/>
          <w:bCs/>
          <w:i/>
          <w:iCs/>
          <w:sz w:val="22"/>
          <w:szCs w:val="22"/>
        </w:rPr>
        <w:t xml:space="preserve">Bảng 2 – Xử lý thuế TNCN đối với các khoản phúc lợi</w:t>
      </w:r>
    </w:p>
    <w:tbl>
      <w:tblPr>
        <w:tblW w:type="dxa" w:w="9355"/>
        <w:tblBorders>
          <w:top w:val="single" w:color="BBBBBB" w:sz="4"/>
          <w:left w:val="single" w:color="BBBBBB" w:sz="4"/>
          <w:bottom w:val="single" w:color="BBBBBB" w:sz="4"/>
          <w:right w:val="single" w:color="BBBBBB" w:sz="4"/>
          <w:insideH w:val="single" w:color="BBBBBB" w:sz="4"/>
          <w:insideV w:val="single" w:color="BBBBBB" w:sz="4"/>
        </w:tblBorders>
      </w:tblPr>
      <w:tblGrid>
        <w:gridCol w:w="2900"/>
        <w:gridCol w:w="3200"/>
        <w:gridCol w:w="3255"/>
      </w:tblGrid>
      <w:tr>
        <w:trPr>
          <w:tblHeader/>
        </w:trPr>
        <w:tc>
          <w:tcPr>
            <w:tcW w:type="dxa" w:w="29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Khoản phúc lợi</w:t>
            </w:r>
          </w:p>
        </w:tc>
        <w:tc>
          <w:tcPr>
            <w:tcW w:type="dxa" w:w="32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Xử lý thuế TNCN</w:t>
            </w:r>
          </w:p>
        </w:tc>
        <w:tc>
          <w:tcPr>
            <w:tcW w:type="dxa" w:w="3255"/>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Căn cứ / Lưu ý</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Hiếu, hỷ của bản thân và gia đình NLĐ</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Không tính vào thu nhập chịu thuế TNCN nếu là khoản khoán chi phù hợp mức xác định tại Quy chế.</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Áp dụng cho khoản khoán chi có tính phúc lợi theo quy chế; đối chiếu văn bản hướng dẫn Luật TNCN 109/2025.</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Nghỉ mát, tham quan, teambuilding tập thể</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Không tính vào thu nhập chịu thuế nếu chi chung, không ghi rõ tên từng người hưởng; nếu chi đích danh cho cá nhân thì tính thuế TNCN.</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Phân biệt chi tập thể và chi cho cá nhân.</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Ốm đau, nằm viện, thai sản</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Hỗ trợ khám, chữa bệnh hiểm nghèo cho NLĐ và thân nhân: không tính vào thu nhập chịu thuế theo mức thực tế. Thăm hỏi ốm đau thông thường bằng tiền cho cá nhân: nguyên tắc chịu thuế TNCN.</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Cần hồ sơ y tế; đối chiếu điều kiện, mức miễn theo hướng dẫn hiện hành.</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Sinh nhật, lễ, Tết, Trung thu, 1/6 (bằng tiền/hiện vật cho cá nhân)</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Tính vào thu nhập chịu thuế TNCN (thu nhập từ tiền lương, tiền công).</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Kê khai, khấu trừ cùng kỳ trả thu nhập.</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Tiền ăn giữa ca / ăn trưa</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Chi bằng hiện vật (tổ chức bữa ăn): không tính vào thu nhập chịu thuế. Chi bằng tiền: phần không vượt mức trần theo quy định của Bộ LĐ-TB&amp;XH không tính thuế, phần vượt tính thuế TNCN.</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Mức trần cụ thể cần cập nhật văn bản hướng dẫn hiện hành (chưa kiểm chứng theo Luật 109/2025).</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Trang phục, đồng phục</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Bằng hiện vật: không tính vào thu nhập chịu thuế. Bằng tiền: phần trong mức trần theo quy định không tính thuế, phần vượt tính thuế TNCN.</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Mức trần bằng tiền cần đối chiếu văn bản hướng dẫn hiện hành.</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Hỗ trợ nhà ở do Công ty trả thay</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Tính vào thu nhập chịu thuế TNCN; phần tiền nhà tính theo mức khống chế tối đa 15% tổng thu nhập chịu thuế (chưa gồm tiền nhà) theo hướng dẫn.</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Đối chiếu quy định về khoản lợi ích tiền nhà theo hướng dẫn hiện hành.</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Hỗ trợ đi lại dịp lễ, Tết</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Đưa đón tập thể: không tính vào thu nhập chịu thuế. Hỗ trợ tiền cho cá nhân: tính thuế TNCN.</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Phân biệt phương tiện chung và hỗ trợ tiền.</w:t>
            </w:r>
          </w:p>
        </w:tc>
      </w:tr>
      <w:tr>
        <w:tc>
          <w:tcPr>
            <w:tcW w:type="dxa" w:w="2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Bảo hiểm tự nguyện</w:t>
            </w:r>
          </w:p>
        </w:tc>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Bảo hiểm sức khỏe, tai nạn không có tích lũy phí: không tính vào thu nhập chịu thuế. Bảo hiểm nhân thọ/hưu trí tự nguyện có tích lũy do Công ty mua cho NLĐ: thuộc diện chịu thuế TNCN, khấu trừ theo quy định; hưu trí tự nguyện được trừ theo mức khống chế.</w:t>
            </w:r>
          </w:p>
        </w:tc>
        <w:tc>
          <w:tcPr>
            <w:tcW w:type="dxa" w:w="32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Mức khống chế hưu trí tự nguyện và cách khấu trừ cần đối chiếu văn bản hướng dẫn hiện hành.</w:t>
            </w:r>
          </w:p>
        </w:tc>
      </w:tr>
    </w:tbl>
    <w:p>
      <w:pPr>
        <w:spacing w:after="120" w:before="60" w:line="276"/>
        <w:jc w:val="both"/>
      </w:pPr>
      <w:r>
        <w:rPr>
          <w:rFonts w:ascii="Times New Roman" w:cs="Times New Roman" w:eastAsia="Times New Roman" w:hAnsi="Times New Roman"/>
          <w:b/>
          <w:bCs/>
          <w:i/>
          <w:iCs/>
          <w:sz w:val="21"/>
          <w:szCs w:val="21"/>
        </w:rPr>
        <w:t xml:space="preserve">Lưu ý kiểm chứng: </w:t>
      </w:r>
      <w:r>
        <w:rPr>
          <w:rFonts w:ascii="Times New Roman" w:cs="Times New Roman" w:eastAsia="Times New Roman" w:hAnsi="Times New Roman"/>
          <w:i/>
          <w:iCs/>
          <w:sz w:val="21"/>
          <w:szCs w:val="21"/>
        </w:rPr>
        <w:t xml:space="preserve">Một số mức trần và cách xác định thu nhập chịu thuế TNCN nêu trên dựa trên hướng dẫn đang áp dụng; điều, khoản cụ thể của Luật Thuế TNCN số 109/2025/QH15 và văn bản hướng dẫn cần được cập nhật, đối chiếu tại thời điểm áp dụng. Phòng Tài chính – Kế toán chịu trách nhiệm cập nhật khi có văn bản hướng dẫn mới.</w:t>
      </w:r>
    </w:p>
    <w:p>
      <w:pPr>
        <w:spacing w:after="40" w:before="260"/>
        <w:jc w:val="center"/>
      </w:pPr>
      <w:r>
        <w:rPr>
          <w:rFonts w:ascii="Times New Roman" w:cs="Times New Roman" w:eastAsia="Times New Roman" w:hAnsi="Times New Roman"/>
          <w:b/>
          <w:bCs/>
          <w:sz w:val="27"/>
          <w:szCs w:val="27"/>
        </w:rPr>
        <w:t xml:space="preserve">CHƯƠNG III</w:t>
      </w:r>
    </w:p>
    <w:p>
      <w:pPr>
        <w:spacing w:after="120"/>
        <w:jc w:val="center"/>
      </w:pPr>
      <w:r>
        <w:rPr>
          <w:rFonts w:ascii="Times New Roman" w:cs="Times New Roman" w:eastAsia="Times New Roman" w:hAnsi="Times New Roman"/>
          <w:b/>
          <w:bCs/>
          <w:color w:val="9E1B1B"/>
          <w:sz w:val="27"/>
          <w:szCs w:val="27"/>
        </w:rPr>
        <w:t xml:space="preserve">NGUỒN KINH PHÍ VÀ MỨC KHỐNG CHẾ THUẾ</w:t>
      </w:r>
    </w:p>
    <w:p>
      <w:pPr>
        <w:spacing w:after="80" w:before="160" w:line="276"/>
      </w:pPr>
      <w:r>
        <w:rPr>
          <w:rFonts w:ascii="Times New Roman" w:cs="Times New Roman" w:eastAsia="Times New Roman" w:hAnsi="Times New Roman"/>
          <w:b/>
          <w:bCs/>
          <w:sz w:val="26"/>
          <w:szCs w:val="26"/>
        </w:rPr>
        <w:t xml:space="preserve">Điều 8. </w:t>
      </w:r>
      <w:r>
        <w:rPr>
          <w:rFonts w:ascii="Times New Roman" w:cs="Times New Roman" w:eastAsia="Times New Roman" w:hAnsi="Times New Roman"/>
          <w:b/>
          <w:bCs/>
          <w:sz w:val="26"/>
          <w:szCs w:val="26"/>
        </w:rPr>
        <w:t xml:space="preserve">Nguồn kinh phí</w:t>
      </w:r>
    </w:p>
    <w:p>
      <w:pPr>
        <w:spacing w:after="120" w:before="0" w:line="276"/>
        <w:jc w:val="both"/>
      </w:pPr>
      <w:r>
        <w:rPr>
          <w:rFonts w:ascii="Times New Roman" w:cs="Times New Roman" w:eastAsia="Times New Roman" w:hAnsi="Times New Roman"/>
          <w:sz w:val="26"/>
          <w:szCs w:val="26"/>
        </w:rPr>
        <w:t xml:space="preserve">Kinh phí chi phúc lợi được bố trí từ chi phí sản xuất, kinh doanh trong kỳ của Công ty và/hoặc từ quỹ phúc lợi được trích lập theo quy định. Việc hạch toán thực hiện theo chế độ kế toán doanh nghiệp hiện hành (Thông tư số 99/2025/TT-BTC), phản ánh đúng nội dung, đúng đối tượng và đúng kỳ kế toán.</w:t>
      </w:r>
    </w:p>
    <w:p>
      <w:pPr>
        <w:spacing w:after="80" w:before="160" w:line="276"/>
      </w:pPr>
      <w:r>
        <w:rPr>
          <w:rFonts w:ascii="Times New Roman" w:cs="Times New Roman" w:eastAsia="Times New Roman" w:hAnsi="Times New Roman"/>
          <w:b/>
          <w:bCs/>
          <w:sz w:val="26"/>
          <w:szCs w:val="26"/>
        </w:rPr>
        <w:t xml:space="preserve">Điều 9. </w:t>
      </w:r>
      <w:r>
        <w:rPr>
          <w:rFonts w:ascii="Times New Roman" w:cs="Times New Roman" w:eastAsia="Times New Roman" w:hAnsi="Times New Roman"/>
          <w:b/>
          <w:bCs/>
          <w:sz w:val="26"/>
          <w:szCs w:val="26"/>
        </w:rPr>
        <w:t xml:space="preserve">Mức khống chế chi phúc lợi được trừ khi tính thuế TNDN</w:t>
      </w:r>
    </w:p>
    <w:p>
      <w:pPr>
        <w:spacing w:after="120" w:before="0" w:line="276"/>
        <w:jc w:val="both"/>
      </w:pPr>
      <w:r>
        <w:rPr>
          <w:rFonts w:ascii="Times New Roman" w:cs="Times New Roman" w:eastAsia="Times New Roman" w:hAnsi="Times New Roman"/>
          <w:b/>
          <w:bCs/>
        </w:rPr>
        <w:t xml:space="preserve">1. </w:t>
      </w:r>
      <w:r>
        <w:rPr>
          <w:rFonts w:ascii="Times New Roman" w:cs="Times New Roman" w:eastAsia="Times New Roman" w:hAnsi="Times New Roman"/>
        </w:rPr>
        <w:t xml:space="preserve">Tổng các khoản chi có tính chất phúc lợi chi trực tiếp cho người lao động quy định tại Quy chế này được trừ khi xác định thu nhập chịu thuế TNDN nếu </w:t>
      </w:r>
      <w:r>
        <w:rPr>
          <w:rFonts w:ascii="Times New Roman" w:cs="Times New Roman" w:eastAsia="Times New Roman" w:hAnsi="Times New Roman"/>
          <w:b/>
          <w:bCs/>
        </w:rPr>
        <w:t xml:space="preserve">không vượt quá 01 tháng lương bình quân thực tế</w:t>
      </w:r>
      <w:r>
        <w:rPr>
          <w:rFonts w:ascii="Times New Roman" w:cs="Times New Roman" w:eastAsia="Times New Roman" w:hAnsi="Times New Roman"/>
        </w:rPr>
        <w:t xml:space="preserve"> thực hiện trong năm tính thuế, theo điểm d khoản 4 Điều 10 Nghị định số 320/2025/NĐ-CP.</w:t>
      </w:r>
    </w:p>
    <w:p>
      <w:pPr>
        <w:spacing w:after="120" w:before="0" w:line="276"/>
        <w:jc w:val="both"/>
      </w:pPr>
      <w:r>
        <w:rPr>
          <w:rFonts w:ascii="Times New Roman" w:cs="Times New Roman" w:eastAsia="Times New Roman" w:hAnsi="Times New Roman"/>
          <w:b/>
          <w:bCs/>
        </w:rPr>
        <w:t xml:space="preserve">2. Công thức xác định 01 tháng lương bình quân thực tế:</w:t>
      </w:r>
    </w:p>
    <w:p>
      <w:pPr>
        <w:spacing w:after="40" w:before="40"/>
        <w:jc w:val="center"/>
      </w:pPr>
      <w:r>
        <w:rPr>
          <w:rFonts w:ascii="Times New Roman" w:cs="Times New Roman" w:eastAsia="Times New Roman" w:hAnsi="Times New Roman"/>
          <w:b/>
          <w:bCs/>
          <w:sz w:val="25"/>
          <w:szCs w:val="25"/>
        </w:rPr>
        <w:t xml:space="preserve">01 tháng lương BQ thực tế = Quỹ tiền lương thực hiện trong năm ÷ 12 tháng</w:t>
      </w:r>
    </w:p>
    <w:p>
      <w:pPr>
        <w:spacing w:after="40" w:before="0" w:line="276"/>
        <w:jc w:val="both"/>
      </w:pPr>
      <w:r>
        <w:rPr>
          <w:rFonts w:ascii="Times New Roman" w:cs="Times New Roman" w:eastAsia="Times New Roman" w:hAnsi="Times New Roman"/>
          <w:sz w:val="26"/>
          <w:szCs w:val="26"/>
        </w:rPr>
        <w:t xml:space="preserve">Trường hợp doanh nghiệp hoạt động không đủ 12 tháng trong năm tính thuế thì chia cho số tháng thực tế hoạt động trong năm:</w:t>
      </w:r>
    </w:p>
    <w:p>
      <w:pPr>
        <w:spacing w:after="80" w:before="40"/>
        <w:jc w:val="center"/>
      </w:pPr>
      <w:r>
        <w:rPr>
          <w:rFonts w:ascii="Times New Roman" w:cs="Times New Roman" w:eastAsia="Times New Roman" w:hAnsi="Times New Roman"/>
          <w:b/>
          <w:bCs/>
          <w:sz w:val="25"/>
          <w:szCs w:val="25"/>
        </w:rPr>
        <w:t xml:space="preserve">01 tháng lương BQ thực tế = Quỹ tiền lương thực hiện trong năm ÷ Số tháng thực tế hoạt động</w:t>
      </w:r>
    </w:p>
    <w:p>
      <w:pPr>
        <w:spacing w:after="120" w:before="0" w:line="276"/>
        <w:jc w:val="both"/>
      </w:pPr>
      <w:r>
        <w:rPr>
          <w:rFonts w:ascii="Times New Roman" w:cs="Times New Roman" w:eastAsia="Times New Roman" w:hAnsi="Times New Roman"/>
          <w:b/>
          <w:bCs/>
        </w:rPr>
        <w:t xml:space="preserve">3. </w:t>
      </w:r>
      <w:r>
        <w:rPr>
          <w:rFonts w:ascii="Times New Roman" w:cs="Times New Roman" w:eastAsia="Times New Roman" w:hAnsi="Times New Roman"/>
        </w:rPr>
        <w:t xml:space="preserve">Quỹ tiền lương thực hiện là tổng số tiền lương thực tế đã chi trả trong năm tính thuế đến thời hạn nộp hồ sơ quyết toán thuế TNDN, không bao gồm số dư quỹ dự phòng tiền lương của năm trước chi trong năm.</w:t>
      </w:r>
    </w:p>
    <w:p>
      <w:pPr>
        <w:spacing w:after="120" w:before="0" w:line="276"/>
        <w:jc w:val="both"/>
      </w:pPr>
      <w:r>
        <w:rPr>
          <w:rFonts w:ascii="Times New Roman" w:cs="Times New Roman" w:eastAsia="Times New Roman" w:hAnsi="Times New Roman"/>
          <w:b/>
          <w:bCs/>
        </w:rPr>
        <w:t xml:space="preserve">4. </w:t>
      </w:r>
      <w:r>
        <w:rPr>
          <w:rFonts w:ascii="Times New Roman" w:cs="Times New Roman" w:eastAsia="Times New Roman" w:hAnsi="Times New Roman"/>
        </w:rPr>
        <w:t xml:space="preserve">Phần chi phúc lợi vượt quá mức khống chế tại khoản 1 Điều này không được trừ khi tính thuế TNDN. Phòng Tài chính – Kế toán theo dõi lũy kế chi phúc lợi trong năm để kiểm soát giới hạn trước khi trình phê duyệt các khoản chi tiếp theo.</w:t>
      </w:r>
    </w:p>
    <w:p>
      <w:pPr>
        <w:spacing w:after="80" w:before="160" w:line="276"/>
      </w:pPr>
      <w:r>
        <w:rPr>
          <w:rFonts w:ascii="Times New Roman" w:cs="Times New Roman" w:eastAsia="Times New Roman" w:hAnsi="Times New Roman"/>
          <w:b/>
          <w:bCs/>
          <w:sz w:val="26"/>
          <w:szCs w:val="26"/>
        </w:rPr>
        <w:t xml:space="preserve">Điều 10. </w:t>
      </w:r>
      <w:r>
        <w:rPr>
          <w:rFonts w:ascii="Times New Roman" w:cs="Times New Roman" w:eastAsia="Times New Roman" w:hAnsi="Times New Roman"/>
          <w:b/>
          <w:bCs/>
          <w:sz w:val="26"/>
          <w:szCs w:val="26"/>
        </w:rPr>
        <w:t xml:space="preserve">Điều kiện để khoản chi được trừ khi tính thuế TNDN</w:t>
      </w:r>
    </w:p>
    <w:p>
      <w:pPr>
        <w:spacing w:after="120" w:before="0" w:line="276"/>
        <w:ind w:left="360"/>
        <w:jc w:val="both"/>
      </w:pPr>
      <w:r>
        <w:rPr>
          <w:rFonts w:ascii="Times New Roman" w:cs="Times New Roman" w:eastAsia="Times New Roman" w:hAnsi="Times New Roman"/>
          <w:b/>
          <w:bCs/>
        </w:rPr>
        <w:t xml:space="preserve">1. </w:t>
      </w:r>
      <w:r>
        <w:rPr>
          <w:rFonts w:ascii="Times New Roman" w:cs="Times New Roman" w:eastAsia="Times New Roman" w:hAnsi="Times New Roman"/>
        </w:rPr>
        <w:t xml:space="preserve">Khoản chi được quy định cụ thể điều kiện hưởng và mức hưởng tại Quy chế này (hoặc quyết định, phụ lục kèm theo) — điều kiện bắt buộc để chứng minh tính chất phúc lợi của khoản chi.</w:t>
      </w:r>
    </w:p>
    <w:p>
      <w:pPr>
        <w:spacing w:after="120" w:before="0" w:line="276"/>
        <w:ind w:left="360"/>
        <w:jc w:val="both"/>
      </w:pPr>
      <w:r>
        <w:rPr>
          <w:rFonts w:ascii="Times New Roman" w:cs="Times New Roman" w:eastAsia="Times New Roman" w:hAnsi="Times New Roman"/>
          <w:b/>
          <w:bCs/>
        </w:rPr>
        <w:t xml:space="preserve">2. </w:t>
      </w:r>
      <w:r>
        <w:rPr>
          <w:rFonts w:ascii="Times New Roman" w:cs="Times New Roman" w:eastAsia="Times New Roman" w:hAnsi="Times New Roman"/>
        </w:rPr>
        <w:t xml:space="preserve">Khoản chi thực tế phát sinh, liên quan đến hoạt động sản xuất, kinh doanh của Công ty và có đủ hóa đơn, chứng từ hợp pháp theo quy định.</w:t>
      </w:r>
    </w:p>
    <w:p>
      <w:pPr>
        <w:spacing w:after="120" w:before="0" w:line="276"/>
        <w:ind w:left="360"/>
        <w:jc w:val="both"/>
      </w:pPr>
      <w:r>
        <w:rPr>
          <w:rFonts w:ascii="Times New Roman" w:cs="Times New Roman" w:eastAsia="Times New Roman" w:hAnsi="Times New Roman"/>
          <w:b/>
          <w:bCs/>
        </w:rPr>
        <w:t xml:space="preserve">3. </w:t>
      </w:r>
      <w:r>
        <w:rPr>
          <w:rFonts w:ascii="Times New Roman" w:cs="Times New Roman" w:eastAsia="Times New Roman" w:hAnsi="Times New Roman"/>
        </w:rPr>
        <w:t xml:space="preserve">Đối với hóa đơn mua hàng hóa, dịch vụ có giá trị từ 5.000.000 đồng trở lên (đã bao gồm thuế GTGT) phải có chứng từ thanh toán không dùng tiền mặt.</w:t>
      </w:r>
    </w:p>
    <w:p>
      <w:pPr>
        <w:spacing w:after="120" w:before="0" w:line="276"/>
        <w:ind w:left="360"/>
        <w:jc w:val="both"/>
      </w:pPr>
      <w:r>
        <w:rPr>
          <w:rFonts w:ascii="Times New Roman" w:cs="Times New Roman" w:eastAsia="Times New Roman" w:hAnsi="Times New Roman"/>
          <w:b/>
          <w:bCs/>
        </w:rPr>
        <w:t xml:space="preserve">4. </w:t>
      </w:r>
      <w:r>
        <w:rPr>
          <w:rFonts w:ascii="Times New Roman" w:cs="Times New Roman" w:eastAsia="Times New Roman" w:hAnsi="Times New Roman"/>
        </w:rPr>
        <w:t xml:space="preserve">Tổng chi phúc lợi trong năm không vượt quá mức khống chế 01 tháng lương bình quân thực tế theo Điều 9.</w:t>
      </w:r>
    </w:p>
    <w:p>
      <w:pPr>
        <w:spacing w:after="40" w:before="260"/>
        <w:jc w:val="center"/>
      </w:pPr>
      <w:r>
        <w:rPr>
          <w:rFonts w:ascii="Times New Roman" w:cs="Times New Roman" w:eastAsia="Times New Roman" w:hAnsi="Times New Roman"/>
          <w:b/>
          <w:bCs/>
          <w:sz w:val="27"/>
          <w:szCs w:val="27"/>
        </w:rPr>
        <w:t xml:space="preserve">CHƯƠNG IV</w:t>
      </w:r>
    </w:p>
    <w:p>
      <w:pPr>
        <w:spacing w:after="120"/>
        <w:jc w:val="center"/>
      </w:pPr>
      <w:r>
        <w:rPr>
          <w:rFonts w:ascii="Times New Roman" w:cs="Times New Roman" w:eastAsia="Times New Roman" w:hAnsi="Times New Roman"/>
          <w:b/>
          <w:bCs/>
          <w:color w:val="9E1B1B"/>
          <w:sz w:val="27"/>
          <w:szCs w:val="27"/>
        </w:rPr>
        <w:t xml:space="preserve">QUY TRÌNH ĐỀ NGHỊ – PHÊ DUYỆT – CHI TRẢ</w:t>
      </w:r>
    </w:p>
    <w:p>
      <w:pPr>
        <w:spacing w:after="80" w:before="160" w:line="276"/>
      </w:pPr>
      <w:r>
        <w:rPr>
          <w:rFonts w:ascii="Times New Roman" w:cs="Times New Roman" w:eastAsia="Times New Roman" w:hAnsi="Times New Roman"/>
          <w:b/>
          <w:bCs/>
          <w:sz w:val="26"/>
          <w:szCs w:val="26"/>
        </w:rPr>
        <w:t xml:space="preserve">Điều 11. </w:t>
      </w:r>
      <w:r>
        <w:rPr>
          <w:rFonts w:ascii="Times New Roman" w:cs="Times New Roman" w:eastAsia="Times New Roman" w:hAnsi="Times New Roman"/>
          <w:b/>
          <w:bCs/>
          <w:sz w:val="26"/>
          <w:szCs w:val="26"/>
        </w:rPr>
        <w:t xml:space="preserve">Quy trình đề nghị, phê duyệt</w:t>
      </w:r>
    </w:p>
    <w:p>
      <w:pPr>
        <w:spacing w:after="120" w:before="0" w:line="276"/>
        <w:ind w:left="360"/>
        <w:jc w:val="both"/>
      </w:pPr>
      <w:r>
        <w:rPr>
          <w:rFonts w:ascii="Times New Roman" w:cs="Times New Roman" w:eastAsia="Times New Roman" w:hAnsi="Times New Roman"/>
        </w:rPr>
        <w:t xml:space="preserve">Bước 1 – Đề nghị: Bộ phận hoặc người lao động lập Giấy đề nghị chi phúc lợi (Mẫu 01) kèm hồ sơ chứng minh điều kiện hưởng, gửi Phòng Nhân sự/Tài chính – Kế toán.</w:t>
      </w:r>
    </w:p>
    <w:p>
      <w:pPr>
        <w:spacing w:after="120" w:before="0" w:line="276"/>
        <w:ind w:left="360"/>
        <w:jc w:val="both"/>
      </w:pPr>
      <w:r>
        <w:rPr>
          <w:rFonts w:ascii="Times New Roman" w:cs="Times New Roman" w:eastAsia="Times New Roman" w:hAnsi="Times New Roman"/>
        </w:rPr>
        <w:t xml:space="preserve">Bước 2 – Kiểm tra: Phòng Tài chính – Kế toán đối chiếu điều kiện, mức chi theo Quy chế, kiểm tra giới hạn khống chế lũy kế trong năm và tính đầy đủ của hồ sơ.</w:t>
      </w:r>
    </w:p>
    <w:p>
      <w:pPr>
        <w:spacing w:after="120" w:before="0" w:line="276"/>
        <w:ind w:left="360"/>
        <w:jc w:val="both"/>
      </w:pPr>
      <w:r>
        <w:rPr>
          <w:rFonts w:ascii="Times New Roman" w:cs="Times New Roman" w:eastAsia="Times New Roman" w:hAnsi="Times New Roman"/>
        </w:rPr>
        <w:t xml:space="preserve">Bước 3 – Phê duyệt: Trình Giám đốc (hoặc người được ủy quyền) phê duyệt. Khoản chi vượt định mức/ngoài danh mục phải có ý kiến của Giám đốc và tham khảo ý kiến Công đoàn cơ sở khi cần.</w:t>
      </w:r>
    </w:p>
    <w:p>
      <w:pPr>
        <w:spacing w:after="120" w:before="0" w:line="276"/>
        <w:ind w:left="360"/>
        <w:jc w:val="both"/>
      </w:pPr>
      <w:r>
        <w:rPr>
          <w:rFonts w:ascii="Times New Roman" w:cs="Times New Roman" w:eastAsia="Times New Roman" w:hAnsi="Times New Roman"/>
        </w:rPr>
        <w:t xml:space="preserve">Bước 4 – Chi trả: Sau khi được duyệt, Phòng Tài chính – Kế toán lập danh sách nhận (Mẫu 02) và thực hiện chi trả.</w:t>
      </w:r>
    </w:p>
    <w:p>
      <w:pPr>
        <w:spacing w:after="120" w:before="0" w:line="276"/>
        <w:ind w:left="360"/>
        <w:jc w:val="both"/>
      </w:pPr>
      <w:r>
        <w:rPr>
          <w:rFonts w:ascii="Times New Roman" w:cs="Times New Roman" w:eastAsia="Times New Roman" w:hAnsi="Times New Roman"/>
        </w:rPr>
        <w:t xml:space="preserve">Bước 5 – Lưu hồ sơ, hạch toán: Hạch toán theo chế độ kế toán hiện hành và lưu trữ đầy đủ chứng từ phục vụ quyết toán thuế.</w:t>
      </w:r>
    </w:p>
    <w:p>
      <w:pPr>
        <w:spacing w:after="80" w:before="160" w:line="276"/>
      </w:pPr>
      <w:r>
        <w:rPr>
          <w:rFonts w:ascii="Times New Roman" w:cs="Times New Roman" w:eastAsia="Times New Roman" w:hAnsi="Times New Roman"/>
          <w:b/>
          <w:bCs/>
          <w:sz w:val="26"/>
          <w:szCs w:val="26"/>
        </w:rPr>
        <w:t xml:space="preserve">Điều 12. </w:t>
      </w:r>
      <w:r>
        <w:rPr>
          <w:rFonts w:ascii="Times New Roman" w:cs="Times New Roman" w:eastAsia="Times New Roman" w:hAnsi="Times New Roman"/>
          <w:b/>
          <w:bCs/>
          <w:sz w:val="26"/>
          <w:szCs w:val="26"/>
        </w:rPr>
        <w:t xml:space="preserve">Thời hạn và phương thức chi trả</w:t>
      </w:r>
    </w:p>
    <w:p>
      <w:pPr>
        <w:spacing w:after="120" w:before="0" w:line="276"/>
        <w:jc w:val="both"/>
      </w:pPr>
      <w:r>
        <w:rPr>
          <w:rFonts w:ascii="Times New Roman" w:cs="Times New Roman" w:eastAsia="Times New Roman" w:hAnsi="Times New Roman"/>
          <w:b/>
          <w:bCs/>
        </w:rPr>
        <w:t xml:space="preserve">1. </w:t>
      </w:r>
      <w:r>
        <w:rPr>
          <w:rFonts w:ascii="Times New Roman" w:cs="Times New Roman" w:eastAsia="Times New Roman" w:hAnsi="Times New Roman"/>
        </w:rPr>
        <w:t xml:space="preserve">Thời hạn chi trả: trong vòng [CẦN ĐIỀN] ngày làm việc kể từ ngày hồ sơ được phê duyệt.</w:t>
      </w:r>
    </w:p>
    <w:p>
      <w:pPr>
        <w:spacing w:after="120" w:before="0" w:line="276"/>
        <w:jc w:val="both"/>
      </w:pPr>
      <w:r>
        <w:rPr>
          <w:rFonts w:ascii="Times New Roman" w:cs="Times New Roman" w:eastAsia="Times New Roman" w:hAnsi="Times New Roman"/>
          <w:b/>
          <w:bCs/>
        </w:rPr>
        <w:t xml:space="preserve">2. </w:t>
      </w:r>
      <w:r>
        <w:rPr>
          <w:rFonts w:ascii="Times New Roman" w:cs="Times New Roman" w:eastAsia="Times New Roman" w:hAnsi="Times New Roman"/>
        </w:rPr>
        <w:t xml:space="preserve">Phương thức: ưu tiên chuyển khoản đến tài khoản của người lao động hoặc nhà cung cấp; chi tiền mặt chỉ áp dụng với khoản nhỏ, không thuộc trường hợp bắt buộc thanh toán không dùng tiền mặt.</w:t>
      </w:r>
    </w:p>
    <w:p>
      <w:pPr>
        <w:spacing w:after="40" w:before="260"/>
        <w:jc w:val="center"/>
      </w:pPr>
      <w:r>
        <w:rPr>
          <w:rFonts w:ascii="Times New Roman" w:cs="Times New Roman" w:eastAsia="Times New Roman" w:hAnsi="Times New Roman"/>
          <w:b/>
          <w:bCs/>
          <w:sz w:val="27"/>
          <w:szCs w:val="27"/>
        </w:rPr>
        <w:t xml:space="preserve">CHƯƠNG V</w:t>
      </w:r>
    </w:p>
    <w:p>
      <w:pPr>
        <w:spacing w:after="120"/>
        <w:jc w:val="center"/>
      </w:pPr>
      <w:r>
        <w:rPr>
          <w:rFonts w:ascii="Times New Roman" w:cs="Times New Roman" w:eastAsia="Times New Roman" w:hAnsi="Times New Roman"/>
          <w:b/>
          <w:bCs/>
          <w:color w:val="9E1B1B"/>
          <w:sz w:val="27"/>
          <w:szCs w:val="27"/>
        </w:rPr>
        <w:t xml:space="preserve">TRÁCH NHIỆM THỰC HIỆN</w:t>
      </w:r>
    </w:p>
    <w:p>
      <w:pPr>
        <w:spacing w:after="80" w:before="160" w:line="276"/>
      </w:pPr>
      <w:r>
        <w:rPr>
          <w:rFonts w:ascii="Times New Roman" w:cs="Times New Roman" w:eastAsia="Times New Roman" w:hAnsi="Times New Roman"/>
          <w:b/>
          <w:bCs/>
          <w:sz w:val="26"/>
          <w:szCs w:val="26"/>
        </w:rPr>
        <w:t xml:space="preserve">Điều 13. </w:t>
      </w:r>
      <w:r>
        <w:rPr>
          <w:rFonts w:ascii="Times New Roman" w:cs="Times New Roman" w:eastAsia="Times New Roman" w:hAnsi="Times New Roman"/>
          <w:b/>
          <w:bCs/>
          <w:sz w:val="26"/>
          <w:szCs w:val="26"/>
        </w:rPr>
        <w:t xml:space="preserve">Giám đốc Công ty</w:t>
      </w:r>
    </w:p>
    <w:p>
      <w:pPr>
        <w:spacing w:after="120" w:before="0" w:line="276"/>
        <w:jc w:val="both"/>
      </w:pPr>
      <w:r>
        <w:rPr>
          <w:rFonts w:ascii="Times New Roman" w:cs="Times New Roman" w:eastAsia="Times New Roman" w:hAnsi="Times New Roman"/>
          <w:sz w:val="26"/>
          <w:szCs w:val="26"/>
        </w:rPr>
        <w:t xml:space="preserve">Phê duyệt danh mục, mức chi, dự toán kinh phí phúc lợi; quyết định các trường hợp đặc biệt; bảo đảm nguồn kinh phí và giám sát việc thực hiện Quy chế.</w:t>
      </w:r>
    </w:p>
    <w:p>
      <w:pPr>
        <w:spacing w:after="80" w:before="160" w:line="276"/>
      </w:pPr>
      <w:r>
        <w:rPr>
          <w:rFonts w:ascii="Times New Roman" w:cs="Times New Roman" w:eastAsia="Times New Roman" w:hAnsi="Times New Roman"/>
          <w:b/>
          <w:bCs/>
          <w:sz w:val="26"/>
          <w:szCs w:val="26"/>
        </w:rPr>
        <w:t xml:space="preserve">Điều 14. </w:t>
      </w:r>
      <w:r>
        <w:rPr>
          <w:rFonts w:ascii="Times New Roman" w:cs="Times New Roman" w:eastAsia="Times New Roman" w:hAnsi="Times New Roman"/>
          <w:b/>
          <w:bCs/>
          <w:sz w:val="26"/>
          <w:szCs w:val="26"/>
        </w:rPr>
        <w:t xml:space="preserve">Phòng Tài chính – Kế toán và Phòng Nhân sự</w:t>
      </w:r>
    </w:p>
    <w:p>
      <w:pPr>
        <w:spacing w:after="120" w:before="0" w:line="276"/>
        <w:jc w:val="both"/>
      </w:pPr>
      <w:r>
        <w:rPr>
          <w:rFonts w:ascii="Times New Roman" w:cs="Times New Roman" w:eastAsia="Times New Roman" w:hAnsi="Times New Roman"/>
          <w:sz w:val="26"/>
          <w:szCs w:val="26"/>
        </w:rPr>
        <w:t xml:space="preserve">Tiếp nhận, kiểm tra hồ sơ; theo dõi giới hạn khống chế 01 tháng lương bình quân; thực hiện chi trả, hạch toán, khấu trừ và kê khai thuế TNCN đối với khoản chịu thuế; lưu trữ chứng từ; cập nhật quy định pháp luật thuế và kế toán có liên quan.</w:t>
      </w:r>
    </w:p>
    <w:p>
      <w:pPr>
        <w:spacing w:after="80" w:before="160" w:line="276"/>
      </w:pPr>
      <w:r>
        <w:rPr>
          <w:rFonts w:ascii="Times New Roman" w:cs="Times New Roman" w:eastAsia="Times New Roman" w:hAnsi="Times New Roman"/>
          <w:b/>
          <w:bCs/>
          <w:sz w:val="26"/>
          <w:szCs w:val="26"/>
        </w:rPr>
        <w:t xml:space="preserve">Điều 15. </w:t>
      </w:r>
      <w:r>
        <w:rPr>
          <w:rFonts w:ascii="Times New Roman" w:cs="Times New Roman" w:eastAsia="Times New Roman" w:hAnsi="Times New Roman"/>
          <w:b/>
          <w:bCs/>
          <w:sz w:val="26"/>
          <w:szCs w:val="26"/>
        </w:rPr>
        <w:t xml:space="preserve">Ban Chấp hành Công đoàn cơ sở</w:t>
      </w:r>
    </w:p>
    <w:p>
      <w:pPr>
        <w:spacing w:after="120" w:before="0" w:line="276"/>
        <w:jc w:val="both"/>
      </w:pPr>
      <w:r>
        <w:rPr>
          <w:rFonts w:ascii="Times New Roman" w:cs="Times New Roman" w:eastAsia="Times New Roman" w:hAnsi="Times New Roman"/>
          <w:sz w:val="26"/>
          <w:szCs w:val="26"/>
        </w:rPr>
        <w:t xml:space="preserve">Tham gia ý kiến khi xây dựng, sửa đổi Quy chế; giám sát việc thực hiện; phối hợp đề xuất, bình xét đối tượng hưởng bảo đảm công khai, công bằng.</w:t>
      </w:r>
    </w:p>
    <w:p>
      <w:pPr>
        <w:spacing w:after="80" w:before="160" w:line="276"/>
      </w:pPr>
      <w:r>
        <w:rPr>
          <w:rFonts w:ascii="Times New Roman" w:cs="Times New Roman" w:eastAsia="Times New Roman" w:hAnsi="Times New Roman"/>
          <w:b/>
          <w:bCs/>
          <w:sz w:val="26"/>
          <w:szCs w:val="26"/>
        </w:rPr>
        <w:t xml:space="preserve">Điều 16. </w:t>
      </w:r>
      <w:r>
        <w:rPr>
          <w:rFonts w:ascii="Times New Roman" w:cs="Times New Roman" w:eastAsia="Times New Roman" w:hAnsi="Times New Roman"/>
          <w:b/>
          <w:bCs/>
          <w:sz w:val="26"/>
          <w:szCs w:val="26"/>
        </w:rPr>
        <w:t xml:space="preserve">Người lao động</w:t>
      </w:r>
    </w:p>
    <w:p>
      <w:pPr>
        <w:spacing w:after="120" w:before="0" w:line="276"/>
        <w:jc w:val="both"/>
      </w:pPr>
      <w:r>
        <w:rPr>
          <w:rFonts w:ascii="Times New Roman" w:cs="Times New Roman" w:eastAsia="Times New Roman" w:hAnsi="Times New Roman"/>
          <w:sz w:val="26"/>
          <w:szCs w:val="26"/>
        </w:rPr>
        <w:t xml:space="preserve">Cung cấp hồ sơ trung thực, đầy đủ; sử dụng khoản phúc lợi đúng mục đích; phản ánh kịp thời vướng mắc trong quá trình thực hiện.</w:t>
      </w:r>
    </w:p>
    <w:p>
      <w:pPr>
        <w:spacing w:after="40" w:before="260"/>
        <w:jc w:val="center"/>
      </w:pPr>
      <w:r>
        <w:rPr>
          <w:rFonts w:ascii="Times New Roman" w:cs="Times New Roman" w:eastAsia="Times New Roman" w:hAnsi="Times New Roman"/>
          <w:b/>
          <w:bCs/>
          <w:sz w:val="27"/>
          <w:szCs w:val="27"/>
        </w:rPr>
        <w:t xml:space="preserve">CHƯƠNG VI</w:t>
      </w:r>
    </w:p>
    <w:p>
      <w:pPr>
        <w:spacing w:after="120"/>
        <w:jc w:val="center"/>
      </w:pPr>
      <w:r>
        <w:rPr>
          <w:rFonts w:ascii="Times New Roman" w:cs="Times New Roman" w:eastAsia="Times New Roman" w:hAnsi="Times New Roman"/>
          <w:b/>
          <w:bCs/>
          <w:color w:val="9E1B1B"/>
          <w:sz w:val="27"/>
          <w:szCs w:val="27"/>
        </w:rPr>
        <w:t xml:space="preserve">ĐIỀU KHOẢN THI HÀNH</w:t>
      </w:r>
    </w:p>
    <w:p>
      <w:pPr>
        <w:spacing w:after="80" w:before="160" w:line="276"/>
      </w:pPr>
      <w:r>
        <w:rPr>
          <w:rFonts w:ascii="Times New Roman" w:cs="Times New Roman" w:eastAsia="Times New Roman" w:hAnsi="Times New Roman"/>
          <w:b/>
          <w:bCs/>
          <w:sz w:val="26"/>
          <w:szCs w:val="26"/>
        </w:rPr>
        <w:t xml:space="preserve">Điều 17. </w:t>
      </w:r>
      <w:r>
        <w:rPr>
          <w:rFonts w:ascii="Times New Roman" w:cs="Times New Roman" w:eastAsia="Times New Roman" w:hAnsi="Times New Roman"/>
          <w:b/>
          <w:bCs/>
          <w:sz w:val="26"/>
          <w:szCs w:val="26"/>
        </w:rPr>
        <w:t xml:space="preserve">Hiệu lực thi hành</w:t>
      </w:r>
    </w:p>
    <w:p>
      <w:pPr>
        <w:spacing w:after="120" w:before="0" w:line="276"/>
        <w:jc w:val="both"/>
      </w:pPr>
      <w:r>
        <w:rPr>
          <w:rFonts w:ascii="Times New Roman" w:cs="Times New Roman" w:eastAsia="Times New Roman" w:hAnsi="Times New Roman"/>
          <w:sz w:val="26"/>
          <w:szCs w:val="26"/>
        </w:rPr>
        <w:t xml:space="preserve">Quy chế này gồm 06 chương, 19 điều, có hiệu lực thi hành kể từ ngày ký Quyết định ban hành và được áp dụng từ kỳ tính thuế năm [NĂM].</w:t>
      </w:r>
    </w:p>
    <w:p>
      <w:pPr>
        <w:spacing w:after="80" w:before="160" w:line="276"/>
      </w:pPr>
      <w:r>
        <w:rPr>
          <w:rFonts w:ascii="Times New Roman" w:cs="Times New Roman" w:eastAsia="Times New Roman" w:hAnsi="Times New Roman"/>
          <w:b/>
          <w:bCs/>
          <w:sz w:val="26"/>
          <w:szCs w:val="26"/>
        </w:rPr>
        <w:t xml:space="preserve">Điều 18. </w:t>
      </w:r>
      <w:r>
        <w:rPr>
          <w:rFonts w:ascii="Times New Roman" w:cs="Times New Roman" w:eastAsia="Times New Roman" w:hAnsi="Times New Roman"/>
          <w:b/>
          <w:bCs/>
          <w:sz w:val="26"/>
          <w:szCs w:val="26"/>
        </w:rPr>
        <w:t xml:space="preserve">Sửa đổi, bổ sung</w:t>
      </w:r>
    </w:p>
    <w:p>
      <w:pPr>
        <w:spacing w:after="120" w:before="0" w:line="276"/>
        <w:jc w:val="both"/>
      </w:pPr>
      <w:r>
        <w:rPr>
          <w:rFonts w:ascii="Times New Roman" w:cs="Times New Roman" w:eastAsia="Times New Roman" w:hAnsi="Times New Roman"/>
          <w:sz w:val="26"/>
          <w:szCs w:val="26"/>
        </w:rPr>
        <w:t xml:space="preserve">Trong quá trình thực hiện, nếu có vướng mắc hoặc khi chính sách pháp luật thay đổi, Phòng Tài chính – Kế toán chủ trì đề xuất sửa đổi, bổ sung; việc sửa đổi được tham khảo ý kiến Công đoàn cơ sở và do Giám đốc quyết định bằng văn bản.</w:t>
      </w:r>
    </w:p>
    <w:p>
      <w:pPr>
        <w:spacing w:after="80" w:before="160" w:line="276"/>
      </w:pPr>
      <w:r>
        <w:rPr>
          <w:rFonts w:ascii="Times New Roman" w:cs="Times New Roman" w:eastAsia="Times New Roman" w:hAnsi="Times New Roman"/>
          <w:b/>
          <w:bCs/>
          <w:sz w:val="26"/>
          <w:szCs w:val="26"/>
        </w:rPr>
        <w:t xml:space="preserve">Điều 19. </w:t>
      </w:r>
      <w:r>
        <w:rPr>
          <w:rFonts w:ascii="Times New Roman" w:cs="Times New Roman" w:eastAsia="Times New Roman" w:hAnsi="Times New Roman"/>
          <w:b/>
          <w:bCs/>
          <w:sz w:val="26"/>
          <w:szCs w:val="26"/>
        </w:rPr>
        <w:t xml:space="preserve">Tổ chức thực hiện</w:t>
      </w:r>
    </w:p>
    <w:p>
      <w:pPr>
        <w:spacing w:after="120" w:before="0" w:line="276"/>
        <w:jc w:val="both"/>
      </w:pPr>
      <w:r>
        <w:rPr>
          <w:rFonts w:ascii="Times New Roman" w:cs="Times New Roman" w:eastAsia="Times New Roman" w:hAnsi="Times New Roman"/>
          <w:sz w:val="26"/>
          <w:szCs w:val="26"/>
        </w:rPr>
        <w:t xml:space="preserve">Các phòng, ban, bộ phận và toàn thể người lao động có trách nhiệm thực hiện Quy chế này. Các quy định trước đây trái với Quy chế này đều bãi bỏ.</w:t>
      </w:r>
    </w:p>
    <w:tbl>
      <w:tblPr>
        <w:tblW w:type="dxa" w:w="9355"/>
        <w:tblBorders>
          <w:top w:val="none"/>
          <w:left w:val="none"/>
          <w:bottom w:val="none"/>
          <w:right w:val="none"/>
          <w:insideH w:val="none"/>
          <w:insideV w:val="none"/>
        </w:tblBorders>
      </w:tblPr>
      <w:tblGrid>
        <w:gridCol w:w="4677"/>
        <w:gridCol w:w="4678"/>
      </w:tblGrid>
      <w:tr>
        <w:tc>
          <w:tcPr>
            <w:tcW w:type="dxa" w:w="4677"/>
            <w:tcBorders>
              <w:top w:val="none"/>
              <w:left w:val="none"/>
              <w:bottom w:val="none"/>
              <w:right w:val="none"/>
            </w:tcBorders>
          </w:tcPr>
          <w:p>
            <w:pPr>
              <w:spacing w:before="200"/>
              <w:jc w:val="center"/>
            </w:pPr>
            <w:r>
              <w:rPr>
                <w:rFonts w:ascii="Times New Roman" w:cs="Times New Roman" w:eastAsia="Times New Roman" w:hAnsi="Times New Roman"/>
                <w:b/>
                <w:bCs/>
                <w:sz w:val="22"/>
                <w:szCs w:val="22"/>
              </w:rPr>
              <w:t xml:space="preserve">TM. BAN CHẤP HÀNH CÔNG ĐOÀN</w:t>
            </w:r>
          </w:p>
          <w:p>
            <w:pPr>
              <w:jc w:val="center"/>
            </w:pPr>
            <w:r>
              <w:rPr>
                <w:rFonts w:ascii="Times New Roman" w:cs="Times New Roman" w:eastAsia="Times New Roman" w:hAnsi="Times New Roman"/>
                <w:b/>
                <w:bCs/>
                <w:sz w:val="22"/>
                <w:szCs w:val="22"/>
              </w:rPr>
              <w:t xml:space="preserve">CHỦ TỊCH</w:t>
            </w:r>
          </w:p>
          <w:p>
            <w:pPr>
              <w:jc w:val="center"/>
            </w:pPr>
            <w:r>
              <w:rPr>
                <w:rFonts w:ascii="Times New Roman" w:cs="Times New Roman" w:eastAsia="Times New Roman" w:hAnsi="Times New Roman"/>
                <w:i/>
                <w:iCs/>
                <w:sz w:val="20"/>
                <w:szCs w:val="20"/>
              </w:rPr>
              <w:t xml:space="preserve">(Ký, ghi rõ họ tên)</w:t>
            </w:r>
          </w:p>
          <w:p>
            <w:pPr>
              <w:spacing w:before="600"/>
              <w:jc w:val="center"/>
            </w:pPr>
            <w:r>
              <w:rPr>
                <w:rFonts w:ascii="Times New Roman" w:cs="Times New Roman" w:eastAsia="Times New Roman" w:hAnsi="Times New Roman"/>
                <w:sz w:val="22"/>
                <w:szCs w:val="22"/>
              </w:rPr>
              <w:t xml:space="preserve">[CẦN ĐIỀN]</w:t>
            </w:r>
          </w:p>
        </w:tc>
        <w:tc>
          <w:tcPr>
            <w:tcW w:type="dxa" w:w="4678"/>
            <w:tcBorders>
              <w:top w:val="none"/>
              <w:left w:val="none"/>
              <w:bottom w:val="none"/>
              <w:right w:val="none"/>
            </w:tcBorders>
          </w:tcPr>
          <w:p>
            <w:pPr>
              <w:spacing w:before="200"/>
              <w:jc w:val="center"/>
            </w:pPr>
            <w:r>
              <w:rPr>
                <w:rFonts w:ascii="Times New Roman" w:cs="Times New Roman" w:eastAsia="Times New Roman" w:hAnsi="Times New Roman"/>
                <w:b/>
                <w:bCs/>
                <w:sz w:val="24"/>
                <w:szCs w:val="24"/>
              </w:rPr>
              <w:t xml:space="preserve">GIÁM ĐỐC</w:t>
            </w:r>
          </w:p>
          <w:p>
            <w:pPr>
              <w:jc w:val="center"/>
            </w:pPr>
            <w:r>
              <w:rPr>
                <w:rFonts w:ascii="Times New Roman" w:cs="Times New Roman" w:eastAsia="Times New Roman" w:hAnsi="Times New Roman"/>
                <w:i/>
                <w:iCs/>
                <w:sz w:val="20"/>
                <w:szCs w:val="20"/>
              </w:rPr>
              <w:t xml:space="preserve">(Ký, ghi rõ họ tên, đóng dấu)</w:t>
            </w:r>
          </w:p>
          <w:p>
            <w:pPr>
              <w:spacing w:before="700"/>
              <w:jc w:val="center"/>
            </w:pPr>
            <w:r>
              <w:rPr>
                <w:rFonts w:ascii="Times New Roman" w:cs="Times New Roman" w:eastAsia="Times New Roman" w:hAnsi="Times New Roman"/>
                <w:b/>
                <w:bCs/>
                <w:sz w:val="24"/>
                <w:szCs w:val="24"/>
              </w:rPr>
              <w:t xml:space="preserve">[CẦN ĐIỀN]</w:t>
            </w:r>
          </w:p>
        </w:tc>
      </w:tr>
    </w:tbl>
    <w:p>
      <w:pPr>
        <w:pageBreakBefore/>
      </w:pPr>
      <w:r>
        <w:rPr>
          <w:rFonts w:ascii="Times New Roman" w:cs="Times New Roman" w:eastAsia="Times New Roman" w:hAnsi="Times New Roman"/>
        </w:rPr>
        <w:t xml:space="preserve"/>
      </w:r>
    </w:p>
    <w:p>
      <w:pPr>
        <w:spacing w:after="40"/>
        <w:jc w:val="center"/>
      </w:pPr>
      <w:r>
        <w:rPr>
          <w:rFonts w:ascii="Times New Roman" w:cs="Times New Roman" w:eastAsia="Times New Roman" w:hAnsi="Times New Roman"/>
          <w:b/>
          <w:bCs/>
          <w:color w:val="9E1B1B"/>
          <w:sz w:val="28"/>
          <w:szCs w:val="28"/>
        </w:rPr>
        <w:t xml:space="preserve">PHỤ LỤC – BIỂU MẪU KÈM THEO</w:t>
      </w:r>
    </w:p>
    <w:p>
      <w:pPr>
        <w:pBdr>
          <w:bottom w:val="single" w:color="9E1B1B" w:sz="6"/>
        </w:pBdr>
        <w:spacing w:after="160"/>
      </w:pPr>
      <w:r>
        <w:rPr>
          <w:rFonts w:ascii="Times New Roman" w:cs="Times New Roman" w:eastAsia="Times New Roman" w:hAnsi="Times New Roman"/>
        </w:rPr>
        <w:t xml:space="preserve"/>
      </w:r>
    </w:p>
    <w:p>
      <w:pPr>
        <w:spacing w:after="20"/>
      </w:pPr>
      <w:r>
        <w:rPr>
          <w:rFonts w:ascii="Times New Roman" w:cs="Times New Roman" w:eastAsia="Times New Roman" w:hAnsi="Times New Roman"/>
          <w:b/>
          <w:bCs/>
          <w:sz w:val="25"/>
          <w:szCs w:val="25"/>
        </w:rPr>
        <w:t xml:space="preserve">Mẫu 01 – GIẤY ĐỀ NGHỊ CHI PHÚC LỢI</w:t>
      </w:r>
    </w:p>
    <w:tbl>
      <w:tblPr>
        <w:tblW w:type="dxa" w:w="9355"/>
        <w:tblBorders>
          <w:top w:val="none"/>
          <w:left w:val="none"/>
          <w:bottom w:val="none"/>
          <w:right w:val="none"/>
          <w:insideH w:val="none"/>
          <w:insideV w:val="none"/>
        </w:tblBorders>
      </w:tblPr>
      <w:tblGrid>
        <w:gridCol w:w="4677"/>
        <w:gridCol w:w="4678"/>
      </w:tblGrid>
      <w:tr>
        <w:tc>
          <w:tcPr>
            <w:tcW w:type="dxa" w:w="4677"/>
            <w:tcBorders>
              <w:top w:val="none"/>
              <w:left w:val="none"/>
              <w:bottom w:val="none"/>
              <w:right w:val="none"/>
            </w:tcBorders>
          </w:tcPr>
          <w:p>
            <w:pPr>
              <w:jc w:val="center"/>
            </w:pPr>
            <w:r>
              <w:rPr>
                <w:rFonts w:ascii="Times New Roman" w:cs="Times New Roman" w:eastAsia="Times New Roman" w:hAnsi="Times New Roman"/>
                <w:b/>
                <w:bCs/>
                <w:sz w:val="22"/>
                <w:szCs w:val="22"/>
              </w:rPr>
              <w:t xml:space="preserve">CÔNG TY [CẦN ĐIỀN]</w:t>
            </w:r>
          </w:p>
          <w:p>
            <w:pPr>
              <w:jc w:val="center"/>
            </w:pPr>
            <w:r>
              <w:rPr>
                <w:rFonts w:ascii="Times New Roman" w:cs="Times New Roman" w:eastAsia="Times New Roman" w:hAnsi="Times New Roman"/>
                <w:sz w:val="22"/>
                <w:szCs w:val="22"/>
              </w:rPr>
              <w:t xml:space="preserve">Bộ phận: ...................</w:t>
            </w:r>
          </w:p>
        </w:tc>
        <w:tc>
          <w:tcPr>
            <w:tcW w:type="dxa" w:w="4678"/>
            <w:tcBorders>
              <w:top w:val="none"/>
              <w:left w:val="none"/>
              <w:bottom w:val="none"/>
              <w:right w:val="none"/>
            </w:tcBorders>
          </w:tcPr>
          <w:p>
            <w:pPr>
              <w:jc w:val="center"/>
            </w:pPr>
            <w:r>
              <w:rPr>
                <w:rFonts w:ascii="Times New Roman" w:cs="Times New Roman" w:eastAsia="Times New Roman" w:hAnsi="Times New Roman"/>
                <w:b/>
                <w:bCs/>
                <w:sz w:val="22"/>
                <w:szCs w:val="22"/>
              </w:rPr>
              <w:t xml:space="preserve">CỘNG HÒA XÃ HỘI CHỦ NGHĨA VIỆT NAM</w:t>
            </w:r>
          </w:p>
          <w:p>
            <w:pPr>
              <w:jc w:val="center"/>
            </w:pPr>
            <w:r>
              <w:rPr>
                <w:rFonts w:ascii="Times New Roman" w:cs="Times New Roman" w:eastAsia="Times New Roman" w:hAnsi="Times New Roman"/>
                <w:b/>
                <w:bCs/>
                <w:sz w:val="22"/>
                <w:szCs w:val="22"/>
              </w:rPr>
              <w:t xml:space="preserve">Độc lập – Tự do – Hạnh phúc</w:t>
            </w:r>
          </w:p>
        </w:tc>
      </w:tr>
    </w:tbl>
    <w:p>
      <w:pPr>
        <w:spacing w:after="40" w:before="120"/>
        <w:jc w:val="center"/>
      </w:pPr>
      <w:r>
        <w:rPr>
          <w:rFonts w:ascii="Times New Roman" w:cs="Times New Roman" w:eastAsia="Times New Roman" w:hAnsi="Times New Roman"/>
          <w:b/>
          <w:bCs/>
          <w:sz w:val="26"/>
          <w:szCs w:val="26"/>
        </w:rPr>
        <w:t xml:space="preserve">GIẤY ĐỀ NGHỊ CHI PHÚC LỢI</w:t>
      </w:r>
    </w:p>
    <w:p>
      <w:pPr>
        <w:spacing w:after="80" w:before="0" w:line="276"/>
        <w:jc w:val="both"/>
      </w:pPr>
      <w:r>
        <w:rPr>
          <w:rFonts w:ascii="Times New Roman" w:cs="Times New Roman" w:eastAsia="Times New Roman" w:hAnsi="Times New Roman"/>
          <w:sz w:val="23"/>
          <w:szCs w:val="23"/>
        </w:rPr>
        <w:t xml:space="preserve">Kính gửi: Ban Giám đốc Công ty; Phòng Tài chính – Kế toán.</w:t>
      </w:r>
    </w:p>
    <w:p>
      <w:pPr>
        <w:spacing w:after="80" w:before="0" w:line="276"/>
        <w:jc w:val="both"/>
      </w:pPr>
      <w:r>
        <w:rPr>
          <w:rFonts w:ascii="Times New Roman" w:cs="Times New Roman" w:eastAsia="Times New Roman" w:hAnsi="Times New Roman"/>
          <w:sz w:val="23"/>
          <w:szCs w:val="23"/>
        </w:rPr>
        <w:t xml:space="preserve">Họ và tên người đề nghị: ...................................................  Chức vụ/Bộ phận: ..............................</w:t>
      </w:r>
    </w:p>
    <w:p>
      <w:pPr>
        <w:spacing w:after="80" w:before="0" w:line="276"/>
        <w:jc w:val="both"/>
      </w:pPr>
      <w:r>
        <w:rPr>
          <w:rFonts w:ascii="Times New Roman" w:cs="Times New Roman" w:eastAsia="Times New Roman" w:hAnsi="Times New Roman"/>
          <w:sz w:val="23"/>
          <w:szCs w:val="23"/>
        </w:rPr>
        <w:t xml:space="preserve">Đề nghị chi khoản phúc lợi: ..............................................................................................</w:t>
      </w:r>
    </w:p>
    <w:p>
      <w:pPr>
        <w:spacing w:after="80" w:before="0" w:line="276"/>
        <w:jc w:val="both"/>
      </w:pPr>
      <w:r>
        <w:rPr>
          <w:rFonts w:ascii="Times New Roman" w:cs="Times New Roman" w:eastAsia="Times New Roman" w:hAnsi="Times New Roman"/>
          <w:sz w:val="23"/>
          <w:szCs w:val="23"/>
        </w:rPr>
        <w:t xml:space="preserve">Lý do/điều kiện hưởng: ....................................................................................................</w:t>
      </w:r>
    </w:p>
    <w:p>
      <w:pPr>
        <w:spacing w:after="80" w:before="0" w:line="276"/>
        <w:jc w:val="both"/>
      </w:pPr>
      <w:r>
        <w:rPr>
          <w:rFonts w:ascii="Times New Roman" w:cs="Times New Roman" w:eastAsia="Times New Roman" w:hAnsi="Times New Roman"/>
          <w:sz w:val="23"/>
          <w:szCs w:val="23"/>
        </w:rPr>
        <w:t xml:space="preserve">Số người được hưởng: ...............  Mức chi đề nghị: ...................................  Tổng số tiền: ....................</w:t>
      </w:r>
    </w:p>
    <w:p>
      <w:pPr>
        <w:spacing w:after="80" w:before="0" w:line="276"/>
        <w:jc w:val="both"/>
      </w:pPr>
      <w:r>
        <w:rPr>
          <w:rFonts w:ascii="Times New Roman" w:cs="Times New Roman" w:eastAsia="Times New Roman" w:hAnsi="Times New Roman"/>
          <w:sz w:val="23"/>
          <w:szCs w:val="23"/>
        </w:rPr>
        <w:t xml:space="preserve">Hồ sơ kèm theo: ...........................................................................................................</w:t>
      </w:r>
    </w:p>
    <w:tbl>
      <w:tblPr>
        <w:tblW w:type="dxa" w:w="9355"/>
        <w:tblBorders>
          <w:top w:val="none"/>
          <w:left w:val="none"/>
          <w:bottom w:val="none"/>
          <w:right w:val="none"/>
          <w:insideH w:val="none"/>
          <w:insideV w:val="none"/>
        </w:tblBorders>
      </w:tblPr>
      <w:tblGrid>
        <w:gridCol w:w="3118"/>
        <w:gridCol w:w="3118"/>
        <w:gridCol w:w="3119"/>
      </w:tblGrid>
      <w:tr>
        <w:tc>
          <w:tcPr>
            <w:tcW w:type="dxa" w:w="3118"/>
            <w:tcBorders>
              <w:top w:val="none"/>
              <w:left w:val="none"/>
              <w:bottom w:val="none"/>
              <w:right w:val="none"/>
            </w:tcBorders>
          </w:tcPr>
          <w:p>
            <w:pPr>
              <w:spacing w:before="160"/>
              <w:jc w:val="center"/>
            </w:pPr>
            <w:r>
              <w:rPr>
                <w:rFonts w:ascii="Times New Roman" w:cs="Times New Roman" w:eastAsia="Times New Roman" w:hAnsi="Times New Roman"/>
                <w:b/>
                <w:bCs/>
                <w:sz w:val="22"/>
                <w:szCs w:val="22"/>
              </w:rPr>
              <w:t xml:space="preserve">NGƯỜI ĐỀ NGHỊ</w:t>
            </w:r>
          </w:p>
          <w:p>
            <w:pPr>
              <w:jc w:val="center"/>
            </w:pPr>
            <w:r>
              <w:rPr>
                <w:rFonts w:ascii="Times New Roman" w:cs="Times New Roman" w:eastAsia="Times New Roman" w:hAnsi="Times New Roman"/>
                <w:i/>
                <w:iCs/>
                <w:sz w:val="20"/>
                <w:szCs w:val="20"/>
              </w:rPr>
              <w:t xml:space="preserve">(Ký, họ tên)</w:t>
            </w:r>
          </w:p>
        </w:tc>
        <w:tc>
          <w:tcPr>
            <w:tcW w:type="dxa" w:w="3118"/>
            <w:tcBorders>
              <w:top w:val="none"/>
              <w:left w:val="none"/>
              <w:bottom w:val="none"/>
              <w:right w:val="none"/>
            </w:tcBorders>
          </w:tcPr>
          <w:p>
            <w:pPr>
              <w:spacing w:before="160"/>
              <w:jc w:val="center"/>
            </w:pPr>
            <w:r>
              <w:rPr>
                <w:rFonts w:ascii="Times New Roman" w:cs="Times New Roman" w:eastAsia="Times New Roman" w:hAnsi="Times New Roman"/>
                <w:b/>
                <w:bCs/>
                <w:sz w:val="22"/>
                <w:szCs w:val="22"/>
              </w:rPr>
              <w:t xml:space="preserve">PHÒNG TC – KẾ TOÁN</w:t>
            </w:r>
          </w:p>
          <w:p>
            <w:pPr>
              <w:jc w:val="center"/>
            </w:pPr>
            <w:r>
              <w:rPr>
                <w:rFonts w:ascii="Times New Roman" w:cs="Times New Roman" w:eastAsia="Times New Roman" w:hAnsi="Times New Roman"/>
                <w:i/>
                <w:iCs/>
                <w:sz w:val="20"/>
                <w:szCs w:val="20"/>
              </w:rPr>
              <w:t xml:space="preserve">(Ký, họ tên)</w:t>
            </w:r>
          </w:p>
        </w:tc>
        <w:tc>
          <w:tcPr>
            <w:tcW w:type="dxa" w:w="3119"/>
            <w:tcBorders>
              <w:top w:val="none"/>
              <w:left w:val="none"/>
              <w:bottom w:val="none"/>
              <w:right w:val="none"/>
            </w:tcBorders>
          </w:tcPr>
          <w:p>
            <w:pPr>
              <w:spacing w:before="160"/>
              <w:jc w:val="center"/>
            </w:pPr>
            <w:r>
              <w:rPr>
                <w:rFonts w:ascii="Times New Roman" w:cs="Times New Roman" w:eastAsia="Times New Roman" w:hAnsi="Times New Roman"/>
                <w:b/>
                <w:bCs/>
                <w:sz w:val="22"/>
                <w:szCs w:val="22"/>
              </w:rPr>
              <w:t xml:space="preserve">GIÁM ĐỐC DUYỆT</w:t>
            </w:r>
          </w:p>
          <w:p>
            <w:pPr>
              <w:jc w:val="center"/>
            </w:pPr>
            <w:r>
              <w:rPr>
                <w:rFonts w:ascii="Times New Roman" w:cs="Times New Roman" w:eastAsia="Times New Roman" w:hAnsi="Times New Roman"/>
                <w:i/>
                <w:iCs/>
                <w:sz w:val="20"/>
                <w:szCs w:val="20"/>
              </w:rPr>
              <w:t xml:space="preserve">(Ký, họ tên)</w:t>
            </w:r>
          </w:p>
        </w:tc>
      </w:tr>
    </w:tbl>
    <w:p>
      <w:pPr>
        <w:spacing w:after="40" w:before="260"/>
      </w:pPr>
      <w:r>
        <w:rPr>
          <w:rFonts w:ascii="Times New Roman" w:cs="Times New Roman" w:eastAsia="Times New Roman" w:hAnsi="Times New Roman"/>
          <w:b/>
          <w:bCs/>
          <w:sz w:val="25"/>
          <w:szCs w:val="25"/>
        </w:rPr>
        <w:t xml:space="preserve">Mẫu 02 – DANH SÁCH NGƯỜI LAO ĐỘNG NHẬN PHÚC LỢI</w:t>
      </w:r>
    </w:p>
    <w:p>
      <w:pPr>
        <w:spacing w:after="80" w:before="0" w:line="276"/>
        <w:jc w:val="both"/>
      </w:pPr>
      <w:r>
        <w:rPr>
          <w:rFonts w:ascii="Times New Roman" w:cs="Times New Roman" w:eastAsia="Times New Roman" w:hAnsi="Times New Roman"/>
          <w:sz w:val="23"/>
          <w:szCs w:val="23"/>
        </w:rPr>
        <w:t xml:space="preserve">Khoản phúc lợi: ...........................................  Dịp/đợt chi: ...................  Ngày: ......................</w:t>
      </w:r>
    </w:p>
    <w:tbl>
      <w:tblPr>
        <w:tblW w:type="dxa" w:w="9355"/>
        <w:tblBorders>
          <w:top w:val="single" w:color="BBBBBB" w:sz="4"/>
          <w:left w:val="single" w:color="BBBBBB" w:sz="4"/>
          <w:bottom w:val="single" w:color="BBBBBB" w:sz="4"/>
          <w:right w:val="single" w:color="BBBBBB" w:sz="4"/>
          <w:insideH w:val="single" w:color="BBBBBB" w:sz="4"/>
          <w:insideV w:val="single" w:color="BBBBBB" w:sz="4"/>
        </w:tblBorders>
      </w:tblPr>
      <w:tblGrid>
        <w:gridCol w:w="520"/>
        <w:gridCol w:w="2100"/>
        <w:gridCol w:w="1600"/>
        <w:gridCol w:w="1900"/>
        <w:gridCol w:w="1300"/>
        <w:gridCol w:w="1935"/>
      </w:tblGrid>
      <w:tr>
        <w:trPr>
          <w:tblHeader/>
        </w:trPr>
        <w:tc>
          <w:tcPr>
            <w:tcW w:type="dxa" w:w="52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1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Họ và tên</w:t>
            </w:r>
          </w:p>
        </w:tc>
        <w:tc>
          <w:tcPr>
            <w:tcW w:type="dxa" w:w="16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Bộ phận</w:t>
            </w:r>
          </w:p>
        </w:tc>
        <w:tc>
          <w:tcPr>
            <w:tcW w:type="dxa" w:w="19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Khoản phúc lợi</w:t>
            </w:r>
          </w:p>
        </w:tc>
        <w:tc>
          <w:tcPr>
            <w:tcW w:type="dxa" w:w="13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Số tiền (đồng)</w:t>
            </w:r>
          </w:p>
        </w:tc>
        <w:tc>
          <w:tcPr>
            <w:tcW w:type="dxa" w:w="1935"/>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Ký nhận</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1</w:t>
            </w:r>
          </w:p>
        </w:tc>
        <w:tc>
          <w:tcPr>
            <w:tcW w:type="dxa" w:w="21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2</w:t>
            </w:r>
          </w:p>
        </w:tc>
        <w:tc>
          <w:tcPr>
            <w:tcW w:type="dxa" w:w="21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3</w:t>
            </w:r>
          </w:p>
        </w:tc>
        <w:tc>
          <w:tcPr>
            <w:tcW w:type="dxa" w:w="21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4</w:t>
            </w:r>
          </w:p>
        </w:tc>
        <w:tc>
          <w:tcPr>
            <w:tcW w:type="dxa" w:w="21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5</w:t>
            </w:r>
          </w:p>
        </w:tc>
        <w:tc>
          <w:tcPr>
            <w:tcW w:type="dxa" w:w="21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r>
        <w:tc>
          <w:tcPr>
            <w:tcW w:type="dxa" w:w="520"/>
            <w:tcMar>
              <w:top w:type="dxa" w:w="40"/>
              <w:left w:type="dxa" w:w="80"/>
              <w:bottom w:type="dxa" w:w="40"/>
              <w:right w:type="dxa" w:w="80"/>
            </w:tcMar>
            <w:vAlign w:val="top"/>
          </w:tcPr>
          <w:p>
            <w:pPr>
              <w:spacing w:after="40" w:line="264"/>
              <w:jc w:val="center"/>
            </w:pPr>
            <w:r>
              <w:rPr>
                <w:rFonts w:ascii="Times New Roman" w:cs="Times New Roman" w:eastAsia="Times New Roman" w:hAnsi="Times New Roman"/>
                <w:sz w:val="22"/>
                <w:szCs w:val="22"/>
              </w:rPr>
              <w:t xml:space="preserve">6</w:t>
            </w:r>
          </w:p>
        </w:tc>
        <w:tc>
          <w:tcPr>
            <w:tcW w:type="dxa" w:w="21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6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r>
        <w:tc>
          <w:tcPr>
            <w:tcW w:type="dxa" w:w="6120"/>
            <w:gridSpan w:val="4"/>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Times New Roman" w:cs="Times New Roman" w:eastAsia="Times New Roman" w:hAnsi="Times New Roman"/>
                <w:b/>
                <w:bCs/>
                <w:sz w:val="22"/>
                <w:szCs w:val="22"/>
              </w:rPr>
              <w:t xml:space="preserve">Tổng cộng</w:t>
            </w:r>
          </w:p>
        </w:tc>
        <w:tc>
          <w:tcPr>
            <w:tcW w:type="dxa" w:w="13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c>
          <w:tcPr>
            <w:tcW w:type="dxa" w:w="193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 </w:t>
            </w:r>
          </w:p>
        </w:tc>
      </w:tr>
    </w:tbl>
    <w:tbl>
      <w:tblPr>
        <w:tblW w:type="dxa" w:w="9355"/>
        <w:tblBorders>
          <w:top w:val="none"/>
          <w:left w:val="none"/>
          <w:bottom w:val="none"/>
          <w:right w:val="none"/>
          <w:insideH w:val="none"/>
          <w:insideV w:val="none"/>
        </w:tblBorders>
      </w:tblPr>
      <w:tblGrid>
        <w:gridCol w:w="4677"/>
        <w:gridCol w:w="4678"/>
      </w:tblGrid>
      <w:tr>
        <w:tc>
          <w:tcPr>
            <w:tcW w:type="dxa" w:w="4677"/>
            <w:tcBorders>
              <w:top w:val="none"/>
              <w:left w:val="none"/>
              <w:bottom w:val="none"/>
              <w:right w:val="none"/>
            </w:tcBorders>
          </w:tcPr>
          <w:p>
            <w:pPr>
              <w:spacing w:before="160"/>
              <w:jc w:val="center"/>
            </w:pPr>
            <w:r>
              <w:rPr>
                <w:rFonts w:ascii="Times New Roman" w:cs="Times New Roman" w:eastAsia="Times New Roman" w:hAnsi="Times New Roman"/>
                <w:b/>
                <w:bCs/>
                <w:sz w:val="22"/>
                <w:szCs w:val="22"/>
              </w:rPr>
              <w:t xml:space="preserve">NGƯỜI LẬP BIỂU</w:t>
            </w:r>
          </w:p>
          <w:p>
            <w:pPr>
              <w:jc w:val="center"/>
            </w:pPr>
            <w:r>
              <w:rPr>
                <w:rFonts w:ascii="Times New Roman" w:cs="Times New Roman" w:eastAsia="Times New Roman" w:hAnsi="Times New Roman"/>
                <w:i/>
                <w:iCs/>
                <w:sz w:val="20"/>
                <w:szCs w:val="20"/>
              </w:rPr>
              <w:t xml:space="preserve">(Ký, họ tên)</w:t>
            </w:r>
          </w:p>
        </w:tc>
        <w:tc>
          <w:tcPr>
            <w:tcW w:type="dxa" w:w="4678"/>
            <w:tcBorders>
              <w:top w:val="none"/>
              <w:left w:val="none"/>
              <w:bottom w:val="none"/>
              <w:right w:val="none"/>
            </w:tcBorders>
          </w:tcPr>
          <w:p>
            <w:pPr>
              <w:spacing w:before="160"/>
              <w:jc w:val="center"/>
            </w:pPr>
            <w:r>
              <w:rPr>
                <w:rFonts w:ascii="Times New Roman" w:cs="Times New Roman" w:eastAsia="Times New Roman" w:hAnsi="Times New Roman"/>
                <w:b/>
                <w:bCs/>
                <w:sz w:val="22"/>
                <w:szCs w:val="22"/>
              </w:rPr>
              <w:t xml:space="preserve">KẾ TOÁN TRƯỞNG / GIÁM ĐỐC</w:t>
            </w:r>
          </w:p>
          <w:p>
            <w:pPr>
              <w:jc w:val="center"/>
            </w:pPr>
            <w:r>
              <w:rPr>
                <w:rFonts w:ascii="Times New Roman" w:cs="Times New Roman" w:eastAsia="Times New Roman" w:hAnsi="Times New Roman"/>
                <w:i/>
                <w:iCs/>
                <w:sz w:val="20"/>
                <w:szCs w:val="20"/>
              </w:rPr>
              <w:t xml:space="preserve">(Ký, họ tên)</w:t>
            </w:r>
          </w:p>
        </w:tc>
      </w:tr>
    </w:tbl>
    <w:p>
      <w:pPr>
        <w:spacing w:after="120" w:before="120" w:line="276"/>
        <w:jc w:val="both"/>
      </w:pPr>
      <w:r>
        <w:rPr>
          <w:rFonts w:ascii="Times New Roman" w:cs="Times New Roman" w:eastAsia="Times New Roman" w:hAnsi="Times New Roman"/>
          <w:i/>
          <w:iCs/>
          <w:sz w:val="21"/>
          <w:szCs w:val="21"/>
        </w:rPr>
        <w:t xml:space="preserve">Ghi chú Mẫu 03 (Quyết định ban hành Quy chế): sử dụng phần Quyết định tại trang đầu của tài liệu này làm mẫu.</w:t>
      </w:r>
    </w:p>
    <w:p>
      <w:pPr>
        <w:pageBreakBefore/>
      </w:pPr>
      <w:r>
        <w:rPr>
          <w:rFonts w:ascii="Times New Roman" w:cs="Times New Roman" w:eastAsia="Times New Roman" w:hAnsi="Times New Roman"/>
        </w:rPr>
        <w:t xml:space="preserve"/>
      </w:r>
    </w:p>
    <w:p>
      <w:pPr>
        <w:spacing w:after="20"/>
        <w:jc w:val="center"/>
      </w:pPr>
      <w:r>
        <w:rPr>
          <w:rFonts w:ascii="Times New Roman" w:cs="Times New Roman" w:eastAsia="Times New Roman" w:hAnsi="Times New Roman"/>
          <w:b/>
          <w:bCs/>
          <w:color w:val="9E1B1B"/>
          <w:sz w:val="26"/>
          <w:szCs w:val="26"/>
        </w:rPr>
        <w:t xml:space="preserve">GHI CHÚ NỘI BỘ – KHÔNG IN VÀO BẢN BAN HÀNH</w:t>
      </w:r>
    </w:p>
    <w:p>
      <w:pPr>
        <w:spacing w:after="120" w:before="0" w:line="276"/>
        <w:jc w:val="center"/>
      </w:pPr>
      <w:r>
        <w:rPr>
          <w:rFonts w:ascii="Times New Roman" w:cs="Times New Roman" w:eastAsia="Times New Roman" w:hAnsi="Times New Roman"/>
          <w:i/>
          <w:iCs/>
          <w:sz w:val="21"/>
          <w:szCs w:val="21"/>
        </w:rPr>
        <w:t xml:space="preserve">(Phần dành cho người soạn thảo/kế toán; cần xóa trước khi ban hành chính thức.)</w:t>
      </w:r>
    </w:p>
    <w:p>
      <w:pPr>
        <w:spacing w:after="60"/>
      </w:pPr>
      <w:r>
        <w:rPr>
          <w:rFonts w:ascii="Times New Roman" w:cs="Times New Roman" w:eastAsia="Times New Roman" w:hAnsi="Times New Roman"/>
          <w:b/>
          <w:bCs/>
          <w:sz w:val="24"/>
          <w:szCs w:val="24"/>
        </w:rPr>
        <w:t xml:space="preserve">Các lỗi khiến chi phúc lợi bị loại khi quyết toán thuế và cách phòng tránh:</w:t>
      </w:r>
    </w:p>
    <w:tbl>
      <w:tblPr>
        <w:tblW w:type="dxa" w:w="9355"/>
        <w:tblBorders>
          <w:top w:val="single" w:color="BBBBBB" w:sz="4"/>
          <w:left w:val="single" w:color="BBBBBB" w:sz="4"/>
          <w:bottom w:val="single" w:color="BBBBBB" w:sz="4"/>
          <w:right w:val="single" w:color="BBBBBB" w:sz="4"/>
          <w:insideH w:val="single" w:color="BBBBBB" w:sz="4"/>
          <w:insideV w:val="single" w:color="BBBBBB" w:sz="4"/>
        </w:tblBorders>
      </w:tblPr>
      <w:tblGrid>
        <w:gridCol w:w="3200"/>
        <w:gridCol w:w="6155"/>
      </w:tblGrid>
      <w:tr>
        <w:trPr>
          <w:tblHeader/>
        </w:trPr>
        <w:tc>
          <w:tcPr>
            <w:tcW w:type="dxa" w:w="3200"/>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Lỗi thường gặp</w:t>
            </w:r>
          </w:p>
        </w:tc>
        <w:tc>
          <w:tcPr>
            <w:tcW w:type="dxa" w:w="6155"/>
            <w:shd w:fill="9E1B1B"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22"/>
                <w:szCs w:val="22"/>
              </w:rPr>
              <w:t xml:space="preserve">Cách phòng tránh</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Vượt mức khống chế 01 tháng lương bình quân</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Theo dõi lũy kế chi phúc lợi cả năm; đối chiếu với quỹ lương thực hiện ÷ 12 (hoặc số tháng hoạt động) trước khi duyệt khoản chi cuối năm; phần vượt phải loại khi quyết toán TNDN.</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Khoản chi không được quy định trong quy chế</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Bảo đảm mọi khoản phúc lợi đều có điều kiện, mức hưởng ghi tại Quy chế/phụ lục/quyết định; tránh chi phát sinh 'ngoài quy chế' không có căn cứ.</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Thiếu chứng từ thanh toán không dùng tiền mặt</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Hóa đơn từ 5 triệu đồng trở lên phải chuyển khoản; không chia nhỏ hóa đơn để né ngưỡng; lưu ủy nhiệm chi kèm hóa đơn.</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Hóa đơn không hợp lệ / sai thời điểm</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Kiểm tra tính hợp pháp của hóa đơn điện tử (đúng NĐ 70/2025), đúng thời điểm lập; đối chiếu tên, MST người mua là Công ty.</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Không ký nhận / danh sách người nhận không đầy đủ</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Bắt buộc có Mẫu 02 ký nhận hoặc chứng từ chuyển khoản đích danh; tránh chi khống, chi trùng.</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Bỏ sót nghĩa vụ thuế TNCN</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Rà soát khoản chịu thuế (quà Tết, sinh nhật, tiền nhà, phần vượt định mức ăn ca/trang phục...) để khấu trừ, kê khai đúng kỳ.</w:t>
            </w:r>
          </w:p>
        </w:tc>
      </w:tr>
      <w:tr>
        <w:tc>
          <w:tcPr>
            <w:tcW w:type="dxa" w:w="3200"/>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Áp dụng văn bản đã hết hiệu lực</w:t>
            </w:r>
          </w:p>
        </w:tc>
        <w:tc>
          <w:tcPr>
            <w:tcW w:type="dxa" w:w="6155"/>
            <w:tcMar>
              <w:top w:type="dxa" w:w="40"/>
              <w:left w:type="dxa" w:w="80"/>
              <w:bottom w:type="dxa" w:w="40"/>
              <w:right w:type="dxa" w:w="80"/>
            </w:tcMar>
            <w:vAlign w:val="top"/>
          </w:tcPr>
          <w:p>
            <w:pPr>
              <w:spacing w:after="40" w:line="264"/>
            </w:pPr>
            <w:r>
              <w:rPr>
                <w:rFonts w:ascii="Times New Roman" w:cs="Times New Roman" w:eastAsia="Times New Roman" w:hAnsi="Times New Roman"/>
                <w:sz w:val="22"/>
                <w:szCs w:val="22"/>
              </w:rPr>
              <w:t xml:space="preserve">Không dẫn chiếu TT 78/2014, TT 96/2015, TT 200/2014; sử dụng Luật TNDN 67/2025, NĐ 320/2025, TT 99/2025 và văn bản hướng dẫn hiện hành.</w:t>
            </w:r>
          </w:p>
        </w:tc>
      </w:tr>
    </w:tbl>
    <w:p>
      <w:pPr>
        <w:spacing w:after="120" w:before="100" w:line="276"/>
        <w:jc w:val="both"/>
      </w:pPr>
      <w:r>
        <w:rPr>
          <w:rFonts w:ascii="Times New Roman" w:cs="Times New Roman" w:eastAsia="Times New Roman" w:hAnsi="Times New Roman"/>
          <w:b/>
          <w:bCs/>
          <w:i/>
          <w:iCs/>
          <w:sz w:val="21"/>
          <w:szCs w:val="21"/>
        </w:rPr>
        <w:t xml:space="preserve">Cần kiểm chứng trước khi ban hành: </w:t>
      </w:r>
      <w:r>
        <w:rPr>
          <w:rFonts w:ascii="Times New Roman" w:cs="Times New Roman" w:eastAsia="Times New Roman" w:hAnsi="Times New Roman"/>
          <w:i/>
          <w:iCs/>
          <w:sz w:val="21"/>
          <w:szCs w:val="21"/>
        </w:rPr>
        <w:t xml:space="preserve">(1) ngày ký/số hiệu chính xác của Nghị định 320/2025/NĐ-CP; (2) điều, khoản cụ thể và mức miễn/khống chế của Luật Thuế TNCN 109/2025/QH15 cùng văn bản hướng dẫn (một số nội dung TNCN trong Bảng 2 dựa trên hướng dẫn đang áp dụng, chưa kiểm chứng theo Luật 109/2025); (3) mức trần tiền ăn ca, trang phục theo quy định hiện hành của Bộ LĐ-TB&amp;XH.</w:t>
      </w:r>
    </w:p>
    <w:sectPr>
      <w:headerReference w:type="default" r:id="rId7"/>
      <w:footerReference w:type="default" r:id="rId8"/>
      <w:pgSz w:w="11906" w:h="16838" w:orient="portrait"/>
      <w:pgMar w:top="1134" w:right="850"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center" w:pos="4677"/>
        <w:tab w:val="right" w:pos="9355"/>
      </w:tabs>
      <w:spacing w:before="40"/>
    </w:pPr>
    <w:r>
      <w:t>KK HOME — Lưu hành nội bộ</w:t>
      <w:tab/>
      <w:t>Trang /</w:t>
      <w:tab/>
      <w:t>Mẫu số/2026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5"/>
      </w:tabs>
      <w:spacing w:after="20"/>
    </w:pPr>
    <w:r>
      <w:t>KK HOME</w:t>
      <w:tab/>
      <w:t>QUY CHẾ CHI PHÚC LỢI CHO NGƯỜI LAO ĐỘNG</w:t>
    </w:r>
  </w:p>
  <w:p>
    <w:pPr>
      <w:pBdr>
        <w:bottom w:val="single" w:color="9E1B1B" w:sz="6"/>
      </w:pBdr>
      <w:spacing w:after="60"/>
    </w:pPr>
    <w:r>
      <w:rPr>
        <w:rFonts w:ascii="Times New Roman" w:cs="Times New Roman" w:eastAsia="Times New Roman" w:hAnsi="Times New Roman"/>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chi phúc lợi cho người lao động</dc:title>
  <dc:creator>Mr. Wick Kiểm toán</dc:creator>
  <cp:lastModifiedBy>Un-named</cp:lastModifiedBy>
  <cp:revision>1</cp:revision>
  <dcterms:created xsi:type="dcterms:W3CDTF">2026-07-18T10:15:00.123Z</dcterms:created>
  <dcterms:modified xsi:type="dcterms:W3CDTF">2026-07-18T10:15:00.136Z</dcterms:modified>
</cp:coreProperties>
</file>

<file path=docProps/custom.xml><?xml version="1.0" encoding="utf-8"?>
<Properties xmlns="http://schemas.openxmlformats.org/officeDocument/2006/custom-properties" xmlns:vt="http://schemas.openxmlformats.org/officeDocument/2006/docPropsVTypes"/>
</file>