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876"/>
        <w:gridCol w:w="4876"/>
      </w:tblGrid>
      <w:tr>
        <w:tc>
          <w:tcPr>
            <w:tcW w:type="dxa" w:w="4989"/>
            <w:tcMar>
              <w:top w:w="40" w:type="dxa"/>
              <w:start w:w="30" w:type="dxa"/>
              <w:bottom w:w="50" w:type="dxa"/>
              <w:end w:w="30" w:type="dxa"/>
            </w:tcMar>
            <w:tcBorders>
              <w:top w:val="nil"/>
              <w:left w:val="nil"/>
              <w:bottom w:val="nil"/>
              <w:right w:val="nil"/>
            </w:tcBorders>
          </w:tcPr>
          <w:p>
            <w:pPr>
              <w:spacing w:after="0" w:line="240" w:lineRule="auto"/>
              <w:jc w:val="left"/>
            </w:pPr>
            <w:r>
              <w:rPr>
                <w:rFonts w:ascii="Times New Roman" w:hAnsi="Times New Roman" w:eastAsia="Times New Roman"/>
                <w:b w:val="0"/>
                <w:i w:val="0"/>
                <w:color w:val="000000"/>
                <w:sz w:val="21"/>
              </w:rPr>
              <w:t>[TÊN CÔNG TY]</w:t>
              <w:br/>
              <w:t>Số: [..]/QĐ-[..]</w:t>
            </w:r>
          </w:p>
        </w:tc>
        <w:tc>
          <w:tcPr>
            <w:tcW w:type="dxa" w:w="4932"/>
            <w:tcMar>
              <w:top w:w="40" w:type="dxa"/>
              <w:start w:w="30" w:type="dxa"/>
              <w:bottom w:w="50" w:type="dxa"/>
              <w:end w:w="30" w:type="dxa"/>
            </w:tcMar>
            <w:tcBorders>
              <w:top w:val="nil"/>
              <w:left w:val="nil"/>
              <w:bottom w:val="nil"/>
              <w:right w:val="nil"/>
            </w:tcBorders>
          </w:tcPr>
          <w:p>
            <w:pPr>
              <w:spacing w:after="0" w:line="240" w:lineRule="auto"/>
              <w:jc w:val="center"/>
            </w:pPr>
            <w:r>
              <w:rPr>
                <w:rFonts w:ascii="Times New Roman" w:hAnsi="Times New Roman" w:eastAsia="Times New Roman"/>
                <w:b/>
                <w:i w:val="0"/>
                <w:color w:val="000000"/>
                <w:sz w:val="21"/>
              </w:rPr>
              <w:t>CỘNG HÒA XÃ HỘI CHỦ NGHĨA VIỆT NAM</w:t>
              <w:br/>
              <w:t>Độc lập - Tự do - Hạnh phúc</w:t>
              <w:br/>
              <w:t>____________________</w:t>
              <w:br/>
              <w:t>[Địa danh], ngày [..] tháng [..] năm 2026</w:t>
            </w:r>
          </w:p>
        </w:tc>
      </w:tr>
    </w:tbl>
    <w:p>
      <w:pPr>
        <w:spacing w:before="160" w:after="80"/>
        <w:jc w:val="center"/>
      </w:pPr>
      <w:r>
        <w:rPr>
          <w:rFonts w:ascii="Times New Roman" w:hAnsi="Times New Roman" w:eastAsia="Times New Roman"/>
          <w:b/>
          <w:i w:val="0"/>
          <w:color w:val="000000"/>
          <w:sz w:val="32"/>
        </w:rPr>
        <w:t>QUYẾT ĐỊNH</w:t>
      </w:r>
    </w:p>
    <w:p>
      <w:pPr>
        <w:spacing w:after="240" w:line="240" w:lineRule="auto"/>
        <w:jc w:val="center"/>
      </w:pPr>
      <w:r>
        <w:rPr>
          <w:rFonts w:ascii="Times New Roman" w:hAnsi="Times New Roman" w:eastAsia="Times New Roman"/>
          <w:b/>
          <w:i w:val="0"/>
          <w:color w:val="000000"/>
          <w:sz w:val="25"/>
        </w:rPr>
        <w:t>Về việc tổ chức tặng quà Trung Thu năm 2026 cho người lao động và đối tác</w:t>
      </w:r>
    </w:p>
    <w:p>
      <w:pPr>
        <w:spacing w:after="160"/>
        <w:jc w:val="center"/>
      </w:pPr>
      <w:r>
        <w:rPr>
          <w:rFonts w:ascii="Times New Roman" w:hAnsi="Times New Roman" w:eastAsia="Times New Roman"/>
          <w:b w:val="0"/>
          <w:i w:val="0"/>
          <w:color w:val="000000"/>
          <w:sz w:val="20"/>
        </w:rPr>
        <w:t>____________________</w:t>
      </w:r>
    </w:p>
    <w:p>
      <w:pPr>
        <w:spacing w:after="160"/>
        <w:jc w:val="center"/>
      </w:pPr>
      <w:r>
        <w:rPr>
          <w:rFonts w:ascii="Times New Roman" w:hAnsi="Times New Roman" w:eastAsia="Times New Roman"/>
          <w:b/>
          <w:i w:val="0"/>
          <w:color w:val="000000"/>
          <w:sz w:val="22"/>
        </w:rPr>
        <w:t>GIÁM ĐỐC / TỔNG GIÁM ĐỐC [TÊN CÔNG TY]</w:t>
      </w:r>
    </w:p>
    <w:p>
      <w:pPr>
        <w:spacing w:line="259" w:lineRule="auto" w:after="40"/>
      </w:pPr>
      <w:r>
        <w:rPr>
          <w:rFonts w:ascii="Times New Roman" w:hAnsi="Times New Roman" w:eastAsia="Times New Roman"/>
          <w:b w:val="0"/>
          <w:i w:val="0"/>
          <w:color w:val="000000"/>
          <w:sz w:val="22"/>
        </w:rPr>
        <w:t>Căn cứ Luật Doanh nghiệp số 59/2020/QH14 và các văn bản sửa đổi, bổ sung còn hiệu lực;</w:t>
      </w:r>
    </w:p>
    <w:p>
      <w:pPr>
        <w:spacing w:line="259" w:lineRule="auto" w:after="40"/>
      </w:pPr>
      <w:r>
        <w:rPr>
          <w:rFonts w:ascii="Times New Roman" w:hAnsi="Times New Roman" w:eastAsia="Times New Roman"/>
          <w:b w:val="0"/>
          <w:i w:val="0"/>
          <w:color w:val="000000"/>
          <w:sz w:val="22"/>
        </w:rPr>
        <w:t>Căn cứ Điều lệ tổ chức và hoạt động của [Tên công ty];</w:t>
      </w:r>
    </w:p>
    <w:p>
      <w:pPr>
        <w:spacing w:line="259" w:lineRule="auto" w:after="40"/>
      </w:pPr>
      <w:r>
        <w:rPr>
          <w:rFonts w:ascii="Times New Roman" w:hAnsi="Times New Roman" w:eastAsia="Times New Roman"/>
          <w:b w:val="0"/>
          <w:i w:val="0"/>
          <w:color w:val="000000"/>
          <w:sz w:val="22"/>
        </w:rPr>
        <w:t>Căn cứ Quy chế tài chính, Quy chế chi tiêu nội bộ và thẩm quyền quản lý, điều hành của [Giám đốc/Tổng Giám đốc];</w:t>
      </w:r>
    </w:p>
    <w:p>
      <w:pPr>
        <w:spacing w:line="259" w:lineRule="auto" w:after="40"/>
      </w:pPr>
      <w:r>
        <w:rPr>
          <w:rFonts w:ascii="Times New Roman" w:hAnsi="Times New Roman" w:eastAsia="Times New Roman"/>
          <w:b w:val="0"/>
          <w:i w:val="0"/>
          <w:color w:val="000000"/>
          <w:sz w:val="22"/>
        </w:rPr>
        <w:t>Căn cứ kế hoạch chăm lo người lao động và duy trì quan hệ hợp tác với đối tác nhân dịp Trung Thu năm 2026;</w:t>
      </w:r>
    </w:p>
    <w:p>
      <w:pPr>
        <w:spacing w:line="259" w:lineRule="auto" w:after="40"/>
      </w:pPr>
      <w:r>
        <w:rPr>
          <w:rFonts w:ascii="Times New Roman" w:hAnsi="Times New Roman" w:eastAsia="Times New Roman"/>
          <w:b w:val="0"/>
          <w:i w:val="0"/>
          <w:color w:val="000000"/>
          <w:sz w:val="22"/>
        </w:rPr>
        <w:t>Theo đề nghị của Trưởng phòng [Hành chính - Nhân sự/Kinh doanh] và Kế toán trưởng.</w:t>
      </w:r>
    </w:p>
    <w:p>
      <w:pPr>
        <w:spacing w:before="100" w:after="140"/>
        <w:jc w:val="center"/>
      </w:pPr>
      <w:r>
        <w:rPr>
          <w:rFonts w:ascii="Times New Roman" w:hAnsi="Times New Roman" w:eastAsia="Times New Roman"/>
          <w:b/>
          <w:i w:val="0"/>
          <w:color w:val="000000"/>
          <w:sz w:val="23"/>
        </w:rPr>
        <w:t>QUYẾT ĐỊNH:</w:t>
      </w:r>
    </w:p>
    <w:p>
      <w:pPr>
        <w:pStyle w:val="Heading1"/>
        <w:spacing w:before="160" w:after="80" w:line="240" w:lineRule="auto"/>
        <w:keepNext/>
      </w:pPr>
      <w:r>
        <w:rPr>
          <w:rFonts w:ascii="Times New Roman" w:hAnsi="Times New Roman" w:eastAsia="Times New Roman"/>
          <w:b/>
          <w:i w:val="0"/>
          <w:color w:val="000000"/>
          <w:sz w:val="25"/>
        </w:rPr>
        <w:t>Điều 1. Mục đích và nguyên tắc thực hiện</w:t>
      </w:r>
    </w:p>
    <w:p>
      <w:pPr>
        <w:spacing w:after="40" w:line="252" w:lineRule="auto"/>
      </w:pPr>
      <w:r>
        <w:rPr>
          <w:rFonts w:ascii="Times New Roman" w:hAnsi="Times New Roman" w:eastAsia="Times New Roman"/>
          <w:b w:val="0"/>
          <w:i w:val="0"/>
          <w:color w:val="000000"/>
          <w:sz w:val="21"/>
        </w:rPr>
        <w:t>1. Tổ chức tặng quà Trung Thu năm 2026 cho người lao động đang có quan hệ lao động với Công ty và một số đối tác theo danh sách, mức quà và ngân sách được phê duyệt tại Quyết định này.</w:t>
      </w:r>
    </w:p>
    <w:p>
      <w:pPr>
        <w:spacing w:after="40" w:line="252" w:lineRule="auto"/>
      </w:pPr>
      <w:r>
        <w:rPr>
          <w:rFonts w:ascii="Times New Roman" w:hAnsi="Times New Roman" w:eastAsia="Times New Roman"/>
          <w:b w:val="0"/>
          <w:i w:val="0"/>
          <w:color w:val="000000"/>
          <w:sz w:val="21"/>
        </w:rPr>
        <w:t>2. Việc tặng quà phải đúng đối tượng, đúng mức, có hồ sơ mua sắm, hóa đơn, chứng từ thanh toán và chứng từ giao nhận. Không tự ý thay đổi đối tượng, mức quà hoặc nguồn kinh phí khi chưa được phê duyệt.</w:t>
      </w:r>
    </w:p>
    <w:p>
      <w:pPr>
        <w:spacing w:after="40" w:line="252" w:lineRule="auto"/>
      </w:pPr>
      <w:r>
        <w:rPr>
          <w:rFonts w:ascii="Times New Roman" w:hAnsi="Times New Roman" w:eastAsia="Times New Roman"/>
          <w:b w:val="0"/>
          <w:i w:val="0"/>
          <w:color w:val="000000"/>
          <w:sz w:val="21"/>
        </w:rPr>
        <w:t>3. Quà cho người lao động và quà cho đối tác được lập danh sách, theo dõi ngân sách và hạch toán tách riêng. Không dùng danh sách đối tác để hợp thức hóa khoản chi phúc lợi cho người lao động và ngược lại.</w:t>
      </w:r>
    </w:p>
    <w:p>
      <w:pPr>
        <w:pStyle w:val="Heading1"/>
        <w:spacing w:before="160" w:after="80" w:line="240" w:lineRule="auto"/>
        <w:keepNext/>
      </w:pPr>
      <w:r>
        <w:rPr>
          <w:rFonts w:ascii="Times New Roman" w:hAnsi="Times New Roman" w:eastAsia="Times New Roman"/>
          <w:b/>
          <w:i w:val="0"/>
          <w:color w:val="000000"/>
          <w:sz w:val="25"/>
        </w:rPr>
        <w:t>Điều 2. Đối tượng và mức quà cho người lao động</w:t>
      </w:r>
    </w:p>
    <w:p>
      <w:pPr>
        <w:spacing w:line="259" w:lineRule="auto" w:after="80"/>
      </w:pPr>
      <w:r>
        <w:rPr>
          <w:rFonts w:ascii="Times New Roman" w:hAnsi="Times New Roman" w:eastAsia="Times New Roman"/>
          <w:b w:val="0"/>
          <w:i w:val="0"/>
          <w:color w:val="000000"/>
          <w:sz w:val="22"/>
        </w:rPr>
        <w:t>1. Đối tượng được nhận quà là người lao động có tên trong danh sách trả lương hoặc danh sách lao động của Công ty tại thời điểm chốt danh sách ngày [..]/[..]/2026. Người lao động nghỉ phép, nghỉ ốm, nghỉ thai sản hoặc nghỉ theo chế độ nhưng vẫn còn quan hệ lao động tại thời điểm chốt danh sách vẫn được xem xét theo chính sách này, trừ khi có quy định khác được phê duyệt.</w:t>
      </w:r>
    </w:p>
    <w:p>
      <w:pPr>
        <w:spacing w:line="259" w:lineRule="auto" w:after="60"/>
      </w:pPr>
      <w:r>
        <w:rPr>
          <w:rFonts w:ascii="Times New Roman" w:hAnsi="Times New Roman" w:eastAsia="Times New Roman"/>
          <w:b w:val="0"/>
          <w:i w:val="0"/>
          <w:color w:val="000000"/>
          <w:sz w:val="22"/>
        </w:rPr>
        <w:t>2. Mức quà được áp dụng như sau:</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Nhóm</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Đối tượng tham khảo</w:t>
            </w:r>
          </w:p>
        </w:tc>
        <w:tc>
          <w:tcPr>
            <w:tcW w:type="dxa" w:w="73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Số người</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Mức quà/người</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Hình thức</w:t>
            </w:r>
          </w:p>
        </w:tc>
        <w:tc>
          <w:tcPr>
            <w:tcW w:type="dxa" w:w="283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Ghi chú</w:t>
            </w:r>
          </w:p>
        </w:tc>
      </w:tr>
      <w:tr>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1</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Ban Giám đốc/Quản lý cấp cao</w:t>
            </w:r>
          </w:p>
        </w:tc>
        <w:tc>
          <w:tcPr>
            <w:tcW w:type="dxa" w:w="73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 đồng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[Hộp quà/Voucher/Tiền]</w:t>
            </w:r>
          </w:p>
        </w:tc>
        <w:tc>
          <w:tcPr>
            <w:tcW w:type="dxa" w:w="283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Theo danh sách Phụ lục 02</w:t>
            </w:r>
          </w:p>
        </w:tc>
      </w:tr>
      <w:tr>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2</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Trưởng, phó bộ phận</w:t>
            </w:r>
          </w:p>
        </w:tc>
        <w:tc>
          <w:tcPr>
            <w:tcW w:type="dxa" w:w="73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 đồng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[Hộp quà/Voucher/Tiền]</w:t>
            </w:r>
          </w:p>
        </w:tc>
        <w:tc>
          <w:tcPr>
            <w:tcW w:type="dxa" w:w="283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Theo danh sách Phụ lục 02</w:t>
            </w:r>
          </w:p>
        </w:tc>
      </w:tr>
      <w:tr>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3</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Nhân viên và người lao động khác</w:t>
            </w:r>
          </w:p>
        </w:tc>
        <w:tc>
          <w:tcPr>
            <w:tcW w:type="dxa" w:w="73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 đồng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[Hộp quà/Voucher/Tiền]</w:t>
            </w:r>
          </w:p>
        </w:tc>
        <w:tc>
          <w:tcPr>
            <w:tcW w:type="dxa" w:w="283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Theo danh sách Phụ lục 02</w:t>
            </w:r>
          </w:p>
        </w:tc>
      </w:tr>
    </w:tbl>
    <w:p>
      <w:pPr>
        <w:spacing w:after="20"/>
      </w:pPr>
    </w:p>
    <w:p>
      <w:pPr>
        <w:spacing w:line="259" w:lineRule="auto" w:after="80"/>
      </w:pPr>
      <w:r>
        <w:rPr>
          <w:rFonts w:ascii="Times New Roman" w:hAnsi="Times New Roman" w:eastAsia="Times New Roman"/>
          <w:b w:val="0"/>
          <w:i w:val="0"/>
          <w:color w:val="000000"/>
          <w:sz w:val="22"/>
        </w:rPr>
        <w:t>3. Giá trị quà nêu trên là [giá trị trước thuế/giá trị Công ty thực chi]. Phòng Nhân sự và Kế toán phải đánh dấu một phương án trước khi chi trả:</w:t>
      </w:r>
    </w:p>
    <w:p>
      <w:pPr>
        <w:pStyle w:val="ListBullet"/>
        <w:spacing w:after="40" w:line="252" w:lineRule="auto"/>
      </w:pPr>
      <w:r>
        <w:rPr>
          <w:rFonts w:ascii="Times New Roman" w:hAnsi="Times New Roman" w:eastAsia="Times New Roman"/>
          <w:b w:val="0"/>
          <w:i w:val="0"/>
          <w:color w:val="000000"/>
          <w:sz w:val="21"/>
        </w:rPr>
        <w:t>Phương án A: Người lao động chịu thuế TNCN phát sinh; Công ty khấu trừ vào khoản thu nhập bằng tiền gần nhất hoặc thực hiện theo quy trình khấu trừ trên bảng lương.</w:t>
      </w:r>
    </w:p>
    <w:p>
      <w:pPr>
        <w:pStyle w:val="ListBullet"/>
        <w:spacing w:after="40" w:line="252" w:lineRule="auto"/>
      </w:pPr>
      <w:r>
        <w:rPr>
          <w:rFonts w:ascii="Times New Roman" w:hAnsi="Times New Roman" w:eastAsia="Times New Roman"/>
          <w:b w:val="0"/>
          <w:i w:val="0"/>
          <w:color w:val="000000"/>
          <w:sz w:val="21"/>
        </w:rPr>
        <w:t>Phương án B: Công ty nộp thay thuế TNCN phát sinh; Kế toán phải quy đổi gross-up và đưa cả khoản thuế nộp thay vào hồ sơ chi, bảng lương và chi phí theo quy định.</w:t>
      </w:r>
    </w:p>
    <w:p>
      <w:pPr>
        <w:spacing w:line="259" w:lineRule="auto" w:after="80"/>
      </w:pPr>
      <w:r>
        <w:rPr>
          <w:rFonts w:ascii="Times New Roman" w:hAnsi="Times New Roman" w:eastAsia="Times New Roman"/>
          <w:b w:val="0"/>
          <w:i w:val="0"/>
          <w:color w:val="000000"/>
          <w:sz w:val="22"/>
        </w:rPr>
        <w:t>4. Trường hợp tặng bằng tiền, tiền được chi qua [tài khoản ngân hàng/bảng lương/tiền mặt theo quy chế]. Trường hợp tặng bằng hàng hóa hoặc voucher, Phòng Hành chính - Nhân sự phải lập bảng ký nhận hoặc biên bản giao nhận theo Phụ lục 05.</w:t>
      </w:r>
    </w:p>
    <w:p>
      <w:pPr>
        <w:pStyle w:val="Heading1"/>
        <w:spacing w:before="160" w:after="80" w:line="240" w:lineRule="auto"/>
        <w:keepNext/>
      </w:pPr>
      <w:r>
        <w:rPr>
          <w:rFonts w:ascii="Times New Roman" w:hAnsi="Times New Roman" w:eastAsia="Times New Roman"/>
          <w:b/>
          <w:i w:val="0"/>
          <w:color w:val="000000"/>
          <w:sz w:val="25"/>
        </w:rPr>
        <w:t>Điều 3. Đối tượng và mức quà cho đối tác</w:t>
      </w:r>
    </w:p>
    <w:p>
      <w:pPr>
        <w:spacing w:line="259" w:lineRule="auto" w:after="80"/>
      </w:pPr>
      <w:r>
        <w:rPr>
          <w:rFonts w:ascii="Times New Roman" w:hAnsi="Times New Roman" w:eastAsia="Times New Roman"/>
          <w:b w:val="0"/>
          <w:i w:val="0"/>
          <w:color w:val="000000"/>
          <w:sz w:val="22"/>
        </w:rPr>
        <w:t>1. Đối tác được tặng quà là khách hàng, nhà cung cấp, đơn vị phối hợp hoặc đối tác có quan hệ giao dịch thực tế với Công ty, được xác định theo tiêu chí và danh sách do [Phòng Kinh doanh/Bộ phận phụ trách] lập.</w:t>
      </w:r>
    </w:p>
    <w:p>
      <w:pPr>
        <w:spacing w:line="259" w:lineRule="auto" w:after="80"/>
      </w:pPr>
      <w:r>
        <w:rPr>
          <w:rFonts w:ascii="Times New Roman" w:hAnsi="Times New Roman" w:eastAsia="Times New Roman"/>
          <w:b w:val="0"/>
          <w:i w:val="0"/>
          <w:color w:val="000000"/>
          <w:sz w:val="22"/>
        </w:rPr>
        <w:t>2. Danh sách đối tác phải ghi rõ tên đơn vị, người nhận, mối quan hệ giao dịch, mục đích tặng, loại quà, giá trị, thời điểm giao và người chịu trách nhiệm. Không tặng quà cho cá nhân có thể tạo ra xung đột lợi ích, vi phạm quy chế của đối tác hoặc quy định pháp luật có liên quan.</w:t>
      </w:r>
    </w:p>
    <w:p>
      <w:pPr>
        <w:spacing w:line="259" w:lineRule="auto" w:after="80"/>
      </w:pPr>
      <w:r>
        <w:rPr>
          <w:rFonts w:ascii="Times New Roman" w:hAnsi="Times New Roman" w:eastAsia="Times New Roman"/>
          <w:b w:val="0"/>
          <w:i w:val="0"/>
          <w:color w:val="000000"/>
          <w:sz w:val="22"/>
        </w:rPr>
        <w:t>3. Mức quà và danh sách đối tác thực hiện theo Phụ lục 03. Mọi trường hợp phát sinh ngoài danh sách phải được [Giám đốc/Tổng Giám đốc] phê duyệt bằng văn bản hoặc phê duyệt điện tử trước khi trao.</w:t>
      </w:r>
    </w:p>
    <w:p>
      <w:pPr>
        <w:pStyle w:val="Heading1"/>
        <w:spacing w:before="160" w:after="80" w:line="240" w:lineRule="auto"/>
        <w:keepNext/>
      </w:pPr>
      <w:r>
        <w:rPr>
          <w:rFonts w:ascii="Times New Roman" w:hAnsi="Times New Roman" w:eastAsia="Times New Roman"/>
          <w:b/>
          <w:i w:val="0"/>
          <w:color w:val="000000"/>
          <w:sz w:val="25"/>
        </w:rPr>
        <w:t>Điều 4. Ngân sách và nguồn kinh phí</w:t>
      </w:r>
    </w:p>
    <w:p>
      <w:pPr>
        <w:spacing w:line="259" w:lineRule="auto" w:after="80"/>
      </w:pPr>
      <w:r>
        <w:rPr>
          <w:rFonts w:ascii="Times New Roman" w:hAnsi="Times New Roman" w:eastAsia="Times New Roman"/>
          <w:b w:val="0"/>
          <w:i w:val="0"/>
          <w:color w:val="000000"/>
          <w:sz w:val="22"/>
        </w:rPr>
        <w:t>1. Tổng ngân sách dự kiến: [...] đồng, trong đó:</w:t>
      </w:r>
    </w:p>
    <w:tbl>
      <w:tblPr>
        <w:tblW w:type="auto" w:w="0"/>
        <w:jc w:val="center"/>
        <w:tblLayout w:type="fixed"/>
        <w:tblLook w:firstColumn="1" w:firstRow="1" w:lastColumn="0" w:lastRow="0" w:noHBand="0" w:noVBand="1" w:val="04A0"/>
      </w:tblPr>
      <w:tblGrid>
        <w:gridCol w:w="1625"/>
        <w:gridCol w:w="1625"/>
        <w:gridCol w:w="1625"/>
        <w:gridCol w:w="1625"/>
        <w:gridCol w:w="1625"/>
        <w:gridCol w:w="1625"/>
      </w:tblGrid>
      <w:tr>
        <w:trPr>
          <w:tblHeader w:val="true"/>
        </w:trP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Khoản mục</w:t>
            </w:r>
          </w:p>
        </w:tc>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Đối tượng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Dự toán trước thuế</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Thuế/chi phí liên quan</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Tổng ngân sách</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Nguồn</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Quà người lao động</w:t>
            </w:r>
          </w:p>
        </w:tc>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Theo Phụ lục 02</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[Quỹ phúc lợi/chi phí hoạt động]</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Quà đối tác</w:t>
            </w:r>
          </w:p>
        </w:tc>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Theo Phụ lục 03</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[Chi phí hoạt động]</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Vận chuyển, đóng gói</w:t>
            </w:r>
          </w:p>
        </w:tc>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Theo thực tế</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[Chi phí hoạt động]</w:t>
            </w:r>
          </w:p>
        </w:tc>
      </w:tr>
    </w:tbl>
    <w:p>
      <w:pPr>
        <w:spacing w:after="20"/>
      </w:pPr>
    </w:p>
    <w:p>
      <w:pPr>
        <w:spacing w:line="259" w:lineRule="auto" w:after="80"/>
      </w:pPr>
      <w:r>
        <w:rPr>
          <w:rFonts w:ascii="Times New Roman" w:hAnsi="Times New Roman" w:eastAsia="Times New Roman"/>
          <w:b w:val="0"/>
          <w:i w:val="0"/>
          <w:color w:val="000000"/>
          <w:sz w:val="22"/>
        </w:rPr>
        <w:t>2. Nguồn kinh phí chính thức được chọn là: [Quỹ phúc lợi/TK 3532 hoặc chi phí hoạt động của Công ty]. Kế toán không được dùng một nguồn kinh phí khác với nguồn đã phê duyệt nếu chưa có quyết định điều chỉnh.</w:t>
      </w:r>
    </w:p>
    <w:p>
      <w:pPr>
        <w:spacing w:line="259" w:lineRule="auto" w:after="80"/>
      </w:pPr>
      <w:r>
        <w:rPr>
          <w:rFonts w:ascii="Times New Roman" w:hAnsi="Times New Roman" w:eastAsia="Times New Roman"/>
          <w:b w:val="0"/>
          <w:i w:val="0"/>
          <w:color w:val="000000"/>
          <w:sz w:val="22"/>
        </w:rPr>
        <w:t>3. Dự toán phải tính đến giá mua, chi phí vận chuyển, đóng gói, thuế GTGT đầu ra đối với hàng cho, biếu, tặng và thuế TNCN do Công ty nộp thay nếu có. Phần ngân sách còn lại sau chương trình phải được đối chiếu và quyết toán.</w:t>
      </w:r>
    </w:p>
    <w:p>
      <w:pPr>
        <w:pStyle w:val="Heading1"/>
        <w:spacing w:before="160" w:after="80" w:line="240" w:lineRule="auto"/>
        <w:keepNext/>
      </w:pPr>
      <w:r>
        <w:rPr>
          <w:rFonts w:ascii="Times New Roman" w:hAnsi="Times New Roman" w:eastAsia="Times New Roman"/>
          <w:b/>
          <w:i w:val="0"/>
          <w:color w:val="000000"/>
          <w:sz w:val="25"/>
        </w:rPr>
        <w:t>Điều 5. Hồ sơ, hóa đơn và xử lý thuế kế toán</w:t>
      </w:r>
    </w:p>
    <w:p>
      <w:pPr>
        <w:spacing w:line="259" w:lineRule="auto" w:after="80"/>
      </w:pPr>
      <w:r>
        <w:rPr>
          <w:rFonts w:ascii="Times New Roman" w:hAnsi="Times New Roman" w:eastAsia="Times New Roman"/>
          <w:b w:val="0"/>
          <w:i w:val="0"/>
          <w:color w:val="000000"/>
          <w:sz w:val="22"/>
        </w:rPr>
        <w:t>1. Phòng Hành chính - Nhân sự hoặc Phòng Kinh doanh lập danh sách người nhận; Kế toán kiểm tra ngân sách, loại quà, hóa đơn đầu vào và phương án thuế trước khi thanh toán.</w:t>
      </w:r>
    </w:p>
    <w:p>
      <w:pPr>
        <w:spacing w:line="259" w:lineRule="auto" w:after="80"/>
      </w:pPr>
      <w:r>
        <w:rPr>
          <w:rFonts w:ascii="Times New Roman" w:hAnsi="Times New Roman" w:eastAsia="Times New Roman"/>
          <w:b w:val="0"/>
          <w:i w:val="0"/>
          <w:color w:val="000000"/>
          <w:sz w:val="22"/>
        </w:rPr>
        <w:t>2. Khi hàng hóa, dịch vụ được dùng để cho, biếu, tặng, Công ty thực hiện lập hóa đơn điện tử theo quy định hiện hành. Công ty có thể lập hóa đơn tổng hợp theo tháng hoặc quý phù hợp với kỳ khai thuế GTGT nếu hồ sơ đáp ứng điều kiện; phải lưu danh sách chi tiết người nhận, hàng hóa, số lượng, giá trị và chứng từ giao nhận. Nếu người nhận yêu cầu hóa đơn riêng, phải lập hóa đơn riêng cho giao dịch đó.</w:t>
      </w:r>
    </w:p>
    <w:p>
      <w:pPr>
        <w:spacing w:line="259" w:lineRule="auto" w:after="80"/>
      </w:pPr>
      <w:r>
        <w:rPr>
          <w:rFonts w:ascii="Times New Roman" w:hAnsi="Times New Roman" w:eastAsia="Times New Roman"/>
          <w:b w:val="0"/>
          <w:i w:val="0"/>
          <w:color w:val="000000"/>
          <w:sz w:val="22"/>
        </w:rPr>
        <w:t>3. Giá tính thuế GTGT đối với hàng hóa, dịch vụ cho, biếu, tặng là giá tính thuế của hàng hóa, dịch vụ cùng loại hoặc tương đương tại thời điểm phát sinh. Chỉ áp dụng giá tính thuế bằng 0 đối với hàng hóa, dịch vụ khuyến mại được thực hiện đúng quy định pháp luật về thương mại; không gắn nhãn khuyến mại cho chương trình tặng quà Trung Thu thông thường nếu không có hồ sơ khuyến mại phù hợp.</w:t>
      </w:r>
    </w:p>
    <w:p>
      <w:pPr>
        <w:spacing w:line="259" w:lineRule="auto" w:after="80"/>
      </w:pPr>
      <w:r>
        <w:rPr>
          <w:rFonts w:ascii="Times New Roman" w:hAnsi="Times New Roman" w:eastAsia="Times New Roman"/>
          <w:b w:val="0"/>
          <w:i w:val="0"/>
          <w:color w:val="000000"/>
          <w:sz w:val="22"/>
        </w:rPr>
        <w:t>4. Đối với người lao động, giá trị quà bằng tiền, hiện vật hoặc voucher phải được Kế toán - Nhân sự rà soát như khoản thưởng hoặc lợi ích từ tiền lương, tiền công theo quy định TNCN áp dụng từ kỳ tính thuế năm 2026. Không áp dụng máy móc ngưỡng 20 triệu đồng của thu nhập từ nhận thừa kế, quà tặng thông thường.</w:t>
      </w:r>
    </w:p>
    <w:p>
      <w:pPr>
        <w:spacing w:line="259" w:lineRule="auto" w:after="80"/>
      </w:pPr>
      <w:r>
        <w:rPr>
          <w:rFonts w:ascii="Times New Roman" w:hAnsi="Times New Roman" w:eastAsia="Times New Roman"/>
          <w:b w:val="0"/>
          <w:i w:val="0"/>
          <w:color w:val="000000"/>
          <w:sz w:val="22"/>
        </w:rPr>
        <w:t>5. Khoản chi phúc lợi trực tiếp cho người lao động được tính vào chi phí được trừ khi đáp ứng điều kiện về liên quan hoạt động, hóa đơn chứng từ, thanh toán và không vượt quá 01 tháng lương bình quân thực tế thực hiện trong năm tính thuế. Phần vượt hạn mức hoặc thiếu hồ sơ phải được theo dõi riêng khi quyết toán thuế TNDN.</w:t>
      </w:r>
    </w:p>
    <w:p>
      <w:pPr>
        <w:spacing w:line="259" w:lineRule="auto" w:after="80"/>
      </w:pPr>
      <w:r>
        <w:rPr>
          <w:rFonts w:ascii="Times New Roman" w:hAnsi="Times New Roman" w:eastAsia="Times New Roman"/>
          <w:b w:val="0"/>
          <w:i w:val="0"/>
          <w:color w:val="000000"/>
          <w:sz w:val="22"/>
        </w:rPr>
        <w:t>6. Quà cho đối tác không phải là khoản chi phúc lợi cho người lao động. Kế toán phải chứng minh mối liên hệ với hoạt động kinh doanh, mục đích tặng, đối tượng nhận, hồ sơ phê duyệt, hóa đơn và thanh toán. Nếu người nhận là cá nhân và khoản nhận có bản chất tiền lương, hoa hồng, chiết khấu hoặc thu nhập khác, phải phân loại thuế riêng.</w:t>
      </w:r>
    </w:p>
    <w:p>
      <w:pPr>
        <w:pStyle w:val="Heading1"/>
        <w:spacing w:before="160" w:after="80" w:line="240" w:lineRule="auto"/>
        <w:keepNext/>
      </w:pPr>
      <w:r>
        <w:rPr>
          <w:rFonts w:ascii="Times New Roman" w:hAnsi="Times New Roman" w:eastAsia="Times New Roman"/>
          <w:b/>
          <w:i w:val="0"/>
          <w:color w:val="000000"/>
          <w:sz w:val="25"/>
        </w:rPr>
        <w:t>Điều 6. Trách nhiệm thực hiện</w:t>
      </w:r>
    </w:p>
    <w:p>
      <w:pPr>
        <w:spacing w:after="40" w:line="252" w:lineRule="auto"/>
      </w:pPr>
      <w:r>
        <w:rPr>
          <w:rFonts w:ascii="Times New Roman" w:hAnsi="Times New Roman" w:eastAsia="Times New Roman"/>
          <w:b w:val="0"/>
          <w:i w:val="0"/>
          <w:color w:val="000000"/>
          <w:sz w:val="21"/>
        </w:rPr>
        <w:t>1. Phòng Hành chính - Nhân sự lập danh sách người lao động, tổ chức mua sắm hoặc tiếp nhận quà, tổ chức trao quà, thu chữ ký hoặc xác nhận điện tử và bàn giao hồ sơ cho Kế toán.</w:t>
      </w:r>
    </w:p>
    <w:p>
      <w:pPr>
        <w:spacing w:after="40" w:line="252" w:lineRule="auto"/>
      </w:pPr>
      <w:r>
        <w:rPr>
          <w:rFonts w:ascii="Times New Roman" w:hAnsi="Times New Roman" w:eastAsia="Times New Roman"/>
          <w:b w:val="0"/>
          <w:i w:val="0"/>
          <w:color w:val="000000"/>
          <w:sz w:val="21"/>
        </w:rPr>
        <w:t>2. Phòng Kinh doanh hoặc bộ phận phụ trách đối tác lập danh sách đối tác, nêu rõ mục đích và người chịu trách nhiệm trao quà; không tự ý mở rộng danh sách.</w:t>
      </w:r>
    </w:p>
    <w:p>
      <w:pPr>
        <w:spacing w:after="40" w:line="252" w:lineRule="auto"/>
      </w:pPr>
      <w:r>
        <w:rPr>
          <w:rFonts w:ascii="Times New Roman" w:hAnsi="Times New Roman" w:eastAsia="Times New Roman"/>
          <w:b w:val="0"/>
          <w:i w:val="0"/>
          <w:color w:val="000000"/>
          <w:sz w:val="21"/>
        </w:rPr>
        <w:t>3. Phòng Kế toán kiểm tra ngân sách, điều kiện thanh toán, hóa đơn đầu vào, hóa đơn đầu ra, thuế GTGT, thuế TNCN, giới hạn chi phúc lợi và định khoản theo chế độ kế toán doanh nghiệp áp dụng từ năm 2026.</w:t>
      </w:r>
    </w:p>
    <w:p>
      <w:pPr>
        <w:spacing w:after="40" w:line="252" w:lineRule="auto"/>
      </w:pPr>
      <w:r>
        <w:rPr>
          <w:rFonts w:ascii="Times New Roman" w:hAnsi="Times New Roman" w:eastAsia="Times New Roman"/>
          <w:b w:val="0"/>
          <w:i w:val="0"/>
          <w:color w:val="000000"/>
          <w:sz w:val="21"/>
        </w:rPr>
        <w:t>4. Người phụ trách trao quà chịu trách nhiệm về việc giao đúng đối tượng, đủ số lượng và lưu bằng chứng giao nhận. Trường hợp không thể lấy chữ ký, phải có phương thức xác nhận thay thế được phê duyệt trước.</w:t>
      </w:r>
    </w:p>
    <w:p>
      <w:pPr>
        <w:pStyle w:val="Heading1"/>
        <w:spacing w:before="160" w:after="80" w:line="240" w:lineRule="auto"/>
        <w:keepNext/>
      </w:pPr>
      <w:r>
        <w:rPr>
          <w:rFonts w:ascii="Times New Roman" w:hAnsi="Times New Roman" w:eastAsia="Times New Roman"/>
          <w:b/>
          <w:i w:val="0"/>
          <w:color w:val="000000"/>
          <w:sz w:val="25"/>
        </w:rPr>
        <w:t>Điều 7. Điều khoản thi hành</w:t>
      </w:r>
    </w:p>
    <w:p>
      <w:pPr>
        <w:spacing w:line="259" w:lineRule="auto" w:after="80"/>
      </w:pPr>
      <w:r>
        <w:rPr>
          <w:rFonts w:ascii="Times New Roman" w:hAnsi="Times New Roman" w:eastAsia="Times New Roman"/>
          <w:b w:val="0"/>
          <w:i w:val="0"/>
          <w:color w:val="000000"/>
          <w:sz w:val="22"/>
        </w:rPr>
        <w:t>Quyết định này có hiệu lực kể từ ngày ký. Trưởng phòng Hành chính - Nhân sự, Trưởng phòng Kinh doanh, Kế toán trưởng, các bộ phận liên quan và người được giao nhiệm vụ chịu trách nhiệm thi hành Quyết định này./.</w:t>
      </w:r>
    </w:p>
    <w:tbl>
      <w:tblPr>
        <w:tblW w:type="auto" w:w="0"/>
        <w:tblLook w:firstColumn="1" w:firstRow="1" w:lastColumn="0" w:lastRow="0" w:noHBand="0" w:noVBand="1" w:val="04A0"/>
      </w:tblPr>
      <w:tblGrid>
        <w:gridCol w:w="4876"/>
        <w:gridCol w:w="4876"/>
      </w:tblGrid>
      <w:tr>
        <w:tc>
          <w:tcPr>
            <w:tcW w:type="dxa" w:w="4819"/>
            <w:vAlign w:val="top"/>
            <w:tcMar>
              <w:top w:w="80" w:type="dxa"/>
              <w:start w:w="80" w:type="dxa"/>
              <w:bottom w:w="80" w:type="dxa"/>
              <w:end w:w="80" w:type="dxa"/>
            </w:tcMar>
            <w:tcBorders>
              <w:top w:val="nil"/>
              <w:left w:val="nil"/>
              <w:bottom w:val="nil"/>
              <w:right w:val="nil"/>
            </w:tcBorders>
          </w:tcPr>
          <w:p>
            <w:pPr>
              <w:spacing w:after="0" w:line="240" w:lineRule="auto"/>
            </w:pPr>
            <w:r>
              <w:rPr>
                <w:rFonts w:ascii="Times New Roman" w:hAnsi="Times New Roman" w:eastAsia="Times New Roman"/>
                <w:b w:val="0"/>
                <w:i w:val="0"/>
                <w:color w:val="000000"/>
                <w:sz w:val="21"/>
              </w:rPr>
              <w:t>Nơi nhận:</w:t>
              <w:br/>
              <w:t>- Như Điều 6;</w:t>
              <w:br/>
              <w:t>- Ban Giám đốc;</w:t>
              <w:br/>
              <w:t>- Lưu: VT, HCNS, KT.</w:t>
            </w:r>
          </w:p>
        </w:tc>
        <w:tc>
          <w:tcPr>
            <w:tcW w:type="dxa" w:w="4819"/>
            <w:vAlign w:val="top"/>
            <w:tcMar>
              <w:top w:w="80" w:type="dxa"/>
              <w:start w:w="80" w:type="dxa"/>
              <w:bottom w:w="80" w:type="dxa"/>
              <w:end w:w="80" w:type="dxa"/>
            </w:tcMar>
            <w:tcBorders>
              <w:top w:val="nil"/>
              <w:left w:val="nil"/>
              <w:bottom w:val="nil"/>
              <w:right w:val="nil"/>
            </w:tcBorders>
          </w:tcPr>
          <w:p>
            <w:pPr>
              <w:spacing w:after="0" w:line="240" w:lineRule="auto"/>
              <w:jc w:val="center"/>
            </w:pPr>
            <w:r>
              <w:rPr>
                <w:rFonts w:ascii="Times New Roman" w:hAnsi="Times New Roman" w:eastAsia="Times New Roman"/>
                <w:b w:val="0"/>
                <w:i w:val="0"/>
                <w:color w:val="000000"/>
                <w:sz w:val="21"/>
              </w:rPr>
              <w:t>GIÁM ĐỐC / TỔNG GIÁM ĐỐC</w:t>
              <w:br/>
              <w:t>(Ký, ghi rõ họ tên, đóng dấu nếu có)</w:t>
              <w:br/>
              <w:br/>
              <w:br/>
              <w:t>[Họ và tên]</w:t>
            </w:r>
          </w:p>
        </w:tc>
      </w:tr>
    </w:tbl>
    <w:p>
      <w:r>
        <w:br w:type="page"/>
      </w:r>
    </w:p>
    <w:p>
      <w:pPr>
        <w:pStyle w:val="Heading1"/>
        <w:spacing w:before="160" w:after="80" w:line="240" w:lineRule="auto"/>
        <w:keepNext/>
      </w:pPr>
      <w:r>
        <w:rPr>
          <w:rFonts w:ascii="Times New Roman" w:hAnsi="Times New Roman" w:eastAsia="Times New Roman"/>
          <w:b/>
          <w:i w:val="0"/>
          <w:color w:val="000000"/>
          <w:sz w:val="25"/>
        </w:rPr>
        <w:t>PHỤ LỤC 01  BẢNG DỰ TOÁN VÀ PHÊ DUYỆT NGÂN SÁCH</w:t>
      </w:r>
    </w:p>
    <w:p>
      <w:pPr>
        <w:spacing w:line="259" w:lineRule="auto" w:after="80"/>
        <w:jc w:val="center"/>
      </w:pPr>
      <w:r>
        <w:rPr>
          <w:rFonts w:ascii="Times New Roman" w:hAnsi="Times New Roman" w:eastAsia="Times New Roman"/>
          <w:b w:val="0"/>
          <w:i w:val="0"/>
          <w:color w:val="000000"/>
          <w:sz w:val="22"/>
        </w:rPr>
        <w:t>Kèm theo Quyết định số [..]/QĐ-[..] ngày [..]/[..]/2026 của [Tên công ty]</w:t>
      </w:r>
    </w:p>
    <w:p>
      <w:pPr>
        <w:spacing w:line="259" w:lineRule="auto" w:after="120"/>
      </w:pPr>
      <w:r>
        <w:rPr>
          <w:rFonts w:ascii="Times New Roman" w:hAnsi="Times New Roman" w:eastAsia="Times New Roman"/>
          <w:b w:val="0"/>
          <w:i w:val="0"/>
          <w:color w:val="000000"/>
          <w:sz w:val="22"/>
        </w:rPr>
        <w:t>Nguyên tắc lập: ghi theo tổng số tiền Công ty phải chi hoặc phải ghi nhận, tách riêng giá mua, thuế GTGT đầu ra, thuế TNCN Công ty nộp thay (nếu có) và chi phí vận chuyển, đóng gói.</w:t>
      </w:r>
    </w:p>
    <w:tbl>
      <w:tblPr>
        <w:tblW w:type="auto" w:w="0"/>
        <w:jc w:val="center"/>
        <w:tblLayout w:type="fixed"/>
        <w:tblLook w:firstColumn="1" w:firstRow="1" w:lastColumn="0" w:lastRow="0" w:noHBand="0" w:noVBand="1" w:val="04A0"/>
      </w:tblPr>
      <w:tblGrid>
        <w:gridCol w:w="1084"/>
        <w:gridCol w:w="1084"/>
        <w:gridCol w:w="1084"/>
        <w:gridCol w:w="1084"/>
        <w:gridCol w:w="1084"/>
        <w:gridCol w:w="1084"/>
        <w:gridCol w:w="1084"/>
        <w:gridCol w:w="1084"/>
        <w:gridCol w:w="1084"/>
      </w:tblGrid>
      <w:tr>
        <w:trPr>
          <w:tblHeader w:val="true"/>
        </w:trP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STT</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Khoản mục</w:t>
            </w:r>
          </w:p>
        </w:tc>
        <w:tc>
          <w:tcPr>
            <w:tcW w:type="dxa" w:w="6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Số lượng</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Đơn giá</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Giá trị trước thuế</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GTGT đầu ra</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TNCN nộp thay</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Tổng chi</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Người phụ trách</w:t>
            </w:r>
          </w:p>
        </w:tc>
      </w:tr>
      <w:t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1</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Quà người lao động</w:t>
            </w:r>
          </w:p>
        </w:tc>
        <w:tc>
          <w:tcPr>
            <w:tcW w:type="dxa" w:w="6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[HCNS]</w:t>
            </w:r>
          </w:p>
        </w:tc>
      </w:tr>
      <w:t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2</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Quà đối tác</w:t>
            </w:r>
          </w:p>
        </w:tc>
        <w:tc>
          <w:tcPr>
            <w:tcW w:type="dxa" w:w="6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[Kinh doanh]</w:t>
            </w:r>
          </w:p>
        </w:tc>
      </w:tr>
      <w:t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3</w:t>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Vận chuyển/đóng gói</w:t>
            </w:r>
          </w:p>
        </w:tc>
        <w:tc>
          <w:tcPr>
            <w:tcW w:type="dxa" w:w="6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[HCNS]</w:t>
            </w:r>
          </w:p>
        </w:tc>
      </w:tr>
      <w:t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c>
          <w:tcPr>
            <w:tcW w:type="dxa" w:w="181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TỔNG CỘNG</w:t>
            </w:r>
          </w:p>
        </w:tc>
        <w:tc>
          <w:tcPr>
            <w:tcW w:type="dxa" w:w="6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02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r>
    </w:tbl>
    <w:p>
      <w:pPr>
        <w:spacing w:after="20"/>
      </w:pPr>
    </w:p>
    <w:p>
      <w:pPr>
        <w:spacing w:line="259" w:lineRule="auto" w:after="0"/>
      </w:pPr>
      <w:r>
        <w:rPr>
          <w:rFonts w:ascii="Times New Roman" w:hAnsi="Times New Roman" w:eastAsia="Times New Roman"/>
          <w:b w:val="0"/>
          <w:i w:val="0"/>
          <w:color w:val="000000"/>
          <w:sz w:val="22"/>
        </w:rPr>
        <w:t>Phê duyệt ngân sách: Người lập [..]   Kế toán trưởng [..]   Người phê duyệt [..]   Ngày [..]/[..]/2026</w:t>
      </w:r>
    </w:p>
    <w:p>
      <w:pPr>
        <w:sectPr>
          <w:headerReference w:type="default" r:id="rId9"/>
          <w:footerReference w:type="default" r:id="rId10"/>
          <w:pgSz w:w="11906" w:h="16838"/>
          <w:pgMar w:top="1020" w:right="1020" w:bottom="964" w:left="1134" w:header="720" w:footer="720" w:gutter="0"/>
          <w:cols w:space="720"/>
          <w:docGrid w:linePitch="360"/>
        </w:sectPr>
      </w:pPr>
    </w:p>
    <w:p>
      <w:pPr>
        <w:pStyle w:val="Heading1"/>
        <w:spacing w:before="160" w:after="80" w:line="240" w:lineRule="auto"/>
        <w:keepNext/>
      </w:pPr>
      <w:r>
        <w:rPr>
          <w:rFonts w:ascii="Times New Roman" w:hAnsi="Times New Roman" w:eastAsia="Times New Roman"/>
          <w:b/>
          <w:i w:val="0"/>
          <w:color w:val="000000"/>
          <w:sz w:val="25"/>
        </w:rPr>
        <w:t>PHỤ LỤC 02  DANH SÁCH NGƯỜI LAO ĐỘNG NHẬN QUÀ</w:t>
      </w:r>
    </w:p>
    <w:p>
      <w:pPr>
        <w:spacing w:line="259" w:lineRule="auto" w:after="80"/>
        <w:jc w:val="center"/>
      </w:pPr>
      <w:r>
        <w:rPr>
          <w:rFonts w:ascii="Times New Roman" w:hAnsi="Times New Roman" w:eastAsia="Times New Roman"/>
          <w:b w:val="0"/>
          <w:i w:val="0"/>
          <w:color w:val="000000"/>
          <w:sz w:val="22"/>
        </w:rPr>
        <w:t>Kèm theo Quyết định số [..]/QĐ-[..] ngày [..]/[..]/2026 | Ngày chốt danh sách: [..]/[..]/2026</w:t>
      </w:r>
    </w:p>
    <w:p>
      <w:pPr>
        <w:spacing w:line="259" w:lineRule="auto" w:after="100"/>
      </w:pPr>
      <w:r>
        <w:rPr>
          <w:rFonts w:ascii="Times New Roman" w:hAnsi="Times New Roman" w:eastAsia="Times New Roman"/>
          <w:b w:val="0"/>
          <w:i w:val="0"/>
          <w:color w:val="000000"/>
          <w:sz w:val="22"/>
        </w:rPr>
        <w:t>Hướng dẫn: dùng mã nhân viên và chữ ký/xác nhận nhận quà; chỉ bổ sung thông tin định danh cá nhân khi cần cho nội dung hóa đơn hoặc yêu cầu pháp luật. Cột TNCN phải được đánh dấu trước khi chi.</w:t>
      </w:r>
    </w:p>
    <w:tbl>
      <w:tblPr>
        <w:tblW w:type="auto" w:w="0"/>
        <w:jc w:val="center"/>
        <w:tblLayout w:type="fixed"/>
        <w:tblLook w:firstColumn="1" w:firstRow="1" w:lastColumn="0" w:lastRow="0" w:noHBand="0" w:noVBand="1" w:val="04A0"/>
      </w:tblPr>
      <w:tblGrid>
        <w:gridCol w:w="1376"/>
        <w:gridCol w:w="1376"/>
        <w:gridCol w:w="1376"/>
        <w:gridCol w:w="1376"/>
        <w:gridCol w:w="1376"/>
        <w:gridCol w:w="1376"/>
        <w:gridCol w:w="1376"/>
        <w:gridCol w:w="1376"/>
        <w:gridCol w:w="1376"/>
        <w:gridCol w:w="1376"/>
        <w:gridCol w:w="1376"/>
      </w:tblGrid>
      <w:tr>
        <w:trPr>
          <w:tblHeader w:val="true"/>
        </w:trP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STT</w:t>
            </w:r>
          </w:p>
        </w:tc>
        <w:tc>
          <w:tcPr>
            <w:tcW w:type="dxa" w:w="62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Mã NV</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Họ và tên</w:t>
            </w:r>
          </w:p>
        </w:tc>
        <w:tc>
          <w:tcPr>
            <w:tcW w:type="dxa" w:w="130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Bộ phận</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Chức danh</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Trạng thái HĐLĐ</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Loại quà</w:t>
            </w:r>
          </w:p>
        </w:tc>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SL</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Giá trị</w:t>
            </w:r>
          </w:p>
        </w:tc>
        <w:tc>
          <w:tcPr>
            <w:tcW w:type="dxa" w:w="79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TNCN</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Ký nhận/ngày</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1</w:t>
            </w:r>
          </w:p>
        </w:tc>
        <w:tc>
          <w:tcPr>
            <w:tcW w:type="dxa" w:w="62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30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Đang làm việc</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1</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79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[Có/Không]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2</w:t>
            </w:r>
          </w:p>
        </w:tc>
        <w:tc>
          <w:tcPr>
            <w:tcW w:type="dxa" w:w="62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30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Đang làm việc</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1</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79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[Có/Không]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3</w:t>
            </w:r>
          </w:p>
        </w:tc>
        <w:tc>
          <w:tcPr>
            <w:tcW w:type="dxa" w:w="62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30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Nghỉ chế độ</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1</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79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[Có/Không]</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62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130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79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r>
          </w:p>
        </w:tc>
      </w:tr>
    </w:tbl>
    <w:p>
      <w:pPr>
        <w:spacing w:after="20"/>
      </w:pPr>
    </w:p>
    <w:p>
      <w:pPr>
        <w:spacing w:line="259" w:lineRule="auto" w:after="80"/>
      </w:pPr>
      <w:r>
        <w:rPr>
          <w:rFonts w:ascii="Times New Roman" w:hAnsi="Times New Roman" w:eastAsia="Times New Roman"/>
          <w:b w:val="0"/>
          <w:i w:val="0"/>
          <w:color w:val="000000"/>
          <w:sz w:val="22"/>
        </w:rPr>
        <w:t>Tổng số người: [...]   Tổng giá trị quà: [...] đồng   Tổng TNCN dự kiến: [...] đồng</w:t>
      </w:r>
    </w:p>
    <w:p>
      <w:pPr>
        <w:spacing w:line="259" w:lineRule="auto" w:after="80"/>
      </w:pPr>
      <w:r>
        <w:rPr>
          <w:rFonts w:ascii="Times New Roman" w:hAnsi="Times New Roman" w:eastAsia="Times New Roman"/>
          <w:b w:val="0"/>
          <w:i w:val="0"/>
          <w:color w:val="000000"/>
          <w:sz w:val="22"/>
        </w:rPr>
        <w:t>Người lập danh sách [..]     Trưởng HCNS [..]     Kế toán trưởng [..]     Người phê duyệt [..]</w:t>
      </w:r>
    </w:p>
    <w:p>
      <w:pPr>
        <w:pStyle w:val="Heading1"/>
        <w:spacing w:before="160" w:after="80" w:line="240" w:lineRule="auto"/>
        <w:keepNext/>
      </w:pPr>
      <w:r>
        <w:rPr>
          <w:rFonts w:ascii="Times New Roman" w:hAnsi="Times New Roman" w:eastAsia="Times New Roman"/>
          <w:b/>
          <w:i w:val="0"/>
          <w:color w:val="000000"/>
          <w:sz w:val="25"/>
        </w:rPr>
        <w:t>PHỤ LỤC 03  DANH SÁCH ĐỐI TÁC NHẬN QUÀ</w:t>
      </w:r>
    </w:p>
    <w:p>
      <w:pPr>
        <w:spacing w:line="259" w:lineRule="auto" w:after="80"/>
        <w:jc w:val="center"/>
      </w:pPr>
      <w:r>
        <w:rPr>
          <w:rFonts w:ascii="Times New Roman" w:hAnsi="Times New Roman" w:eastAsia="Times New Roman"/>
          <w:b w:val="0"/>
          <w:i w:val="0"/>
          <w:color w:val="000000"/>
          <w:sz w:val="22"/>
        </w:rPr>
        <w:t>Kèm theo Quyết định số [..]/QĐ-[..] ngày [..]/[..]/2026</w:t>
      </w:r>
    </w:p>
    <w:tbl>
      <w:tblPr>
        <w:tblW w:type="auto" w:w="0"/>
        <w:jc w:val="center"/>
        <w:tblLayout w:type="fixed"/>
        <w:tblLook w:firstColumn="1" w:firstRow="1" w:lastColumn="0" w:lastRow="0" w:noHBand="0" w:noVBand="1" w:val="04A0"/>
      </w:tblPr>
      <w:tblGrid>
        <w:gridCol w:w="1514"/>
        <w:gridCol w:w="1514"/>
        <w:gridCol w:w="1514"/>
        <w:gridCol w:w="1514"/>
        <w:gridCol w:w="1514"/>
        <w:gridCol w:w="1514"/>
        <w:gridCol w:w="1514"/>
        <w:gridCol w:w="1514"/>
        <w:gridCol w:w="1514"/>
        <w:gridCol w:w="1514"/>
      </w:tblGrid>
      <w:tr>
        <w:trPr>
          <w:tblHeader w:val="true"/>
        </w:trP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STT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Tên đối tác</w:t>
            </w:r>
          </w:p>
        </w:tc>
        <w:tc>
          <w:tcPr>
            <w:tcW w:type="dxa" w:w="158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Mối quan hệ giao dịch</w:t>
            </w:r>
          </w:p>
        </w:tc>
        <w:tc>
          <w:tcPr>
            <w:tcW w:type="dxa" w:w="153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Người nhận/chức vụ</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Mục đích tặng</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Loại quà</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Giá trị</w:t>
            </w:r>
          </w:p>
        </w:tc>
        <w:tc>
          <w:tcPr>
            <w:tcW w:type="dxa" w:w="90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Ngày trao</w:t>
            </w:r>
          </w:p>
        </w:tc>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Người trao</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6"/>
              </w:rPr>
              <w:t>Xác nhận</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1</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58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53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Duy trì quan hệ hợp tác</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90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2</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58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53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Duy trì quan hệ hợp tác</w:t>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90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6"/>
              </w:rPr>
              <w:t>[...]</w:t>
            </w:r>
          </w:p>
        </w:tc>
      </w:tr>
      <w:tr>
        <w:tc>
          <w:tcPr>
            <w:tcW w:type="dxa" w:w="396"/>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158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153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124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90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c>
          <w:tcPr>
            <w:tcW w:type="dxa" w:w="136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6"/>
              </w:rPr>
            </w:r>
          </w:p>
        </w:tc>
      </w:tr>
    </w:tbl>
    <w:p>
      <w:pPr>
        <w:spacing w:after="20"/>
      </w:pPr>
    </w:p>
    <w:p>
      <w:pPr>
        <w:spacing w:line="259" w:lineRule="auto" w:after="80"/>
      </w:pPr>
      <w:r>
        <w:rPr>
          <w:rFonts w:ascii="Times New Roman" w:hAnsi="Times New Roman" w:eastAsia="Times New Roman"/>
          <w:b w:val="0"/>
          <w:i w:val="0"/>
          <w:color w:val="000000"/>
          <w:sz w:val="22"/>
        </w:rPr>
        <w:t>Lưu ý: đối tác phải có giao dịch hoặc mục đích kinh doanh xác định; hồ sơ không dùng các cụm từ chung chung như 'ngoại giao' nếu không có mô tả cụ thể.</w:t>
      </w:r>
    </w:p>
    <w:p>
      <w:pPr>
        <w:sectPr>
          <w:pgSz w:w="16838" w:h="11906" w:orient="landscape"/>
          <w:pgMar w:top="850" w:right="850" w:bottom="850" w:left="850" w:header="720" w:footer="720" w:gutter="0"/>
          <w:cols w:space="720"/>
          <w:docGrid w:linePitch="360"/>
        </w:sectPr>
      </w:pPr>
    </w:p>
    <w:p>
      <w:pPr>
        <w:pStyle w:val="Heading1"/>
        <w:spacing w:before="160" w:after="80" w:line="240" w:lineRule="auto"/>
        <w:keepNext/>
      </w:pPr>
      <w:r>
        <w:rPr>
          <w:rFonts w:ascii="Times New Roman" w:hAnsi="Times New Roman" w:eastAsia="Times New Roman"/>
          <w:b/>
          <w:i w:val="0"/>
          <w:color w:val="000000"/>
          <w:sz w:val="25"/>
        </w:rPr>
        <w:t>PHỤ LỤC 04  CHECKLIST HỒ SƠ VÀ CÔNG VIỆC</w:t>
      </w:r>
    </w:p>
    <w:p>
      <w:pPr>
        <w:spacing w:line="259" w:lineRule="auto" w:after="80"/>
      </w:pPr>
      <w:r>
        <w:rPr>
          <w:rFonts w:ascii="Times New Roman" w:hAnsi="Times New Roman" w:eastAsia="Times New Roman"/>
          <w:b w:val="0"/>
          <w:i w:val="0"/>
          <w:color w:val="000000"/>
          <w:sz w:val="22"/>
        </w:rPr>
        <w:t>Bộ hồ sơ nên được đánh số theo cùng một mã chương trình, ví dụ: TT2026-[số].</w:t>
      </w:r>
    </w:p>
    <w:tbl>
      <w:tblPr>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Giai đoạn</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Hồ sơ/công việc</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Bộ phận</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Đã có</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Ghi chú</w:t>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Trước khi mua</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Quyết định tặng quà; dự toán; tiêu chí; danh sách dự kiến</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BGĐ/HCNS/KT</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Trước khi mua</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Báo giá/đề nghị mua hàng/hợp đồng/đơn đặt hàng</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HCNS/KD</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Mua hàng</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Hóa đơn điện tử đầu vào đúng tên, mã số thuế, nội dung</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Kế toán</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Mua hàng</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Chứng từ thanh toán; kiểm tra thanh toán không dùng tiền mặt khi thuộc ngưỡng áp dụng</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Kế toán</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Nhận hàng</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Biên bản giao nhận với nhà cung cấp, phiếu nhập hoặc hồ sơ mua trực tiếp</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HCNS/KT</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Trao quà</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Danh sách người nhận có ký nhận hoặc xác nhận điện tử</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HCNS/KD</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Trao quà</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Biên bản bàn giao/ảnh/chứng từ giao hàng đối với đối tác</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KD</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Hóa đơn đầu ra</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Hóa đơn hàng cho, biếu, tặng; hóa đơn tổng hợp nếu áp dụng; danh sách chi tiết kèm theo</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Kế toán</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TNCN</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Bảng xác định giá trị quà chịu thuế, khấu trừ hoặc gross-up trên bảng lương</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KT/HCNS</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TNDN</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Bảng tổng hợp chi phúc lợi và 01 tháng lương bình quân thực tế thực hiện</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Kế toán</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r>
          </w:p>
        </w:tc>
      </w:tr>
      <w:tr>
        <w:tc>
          <w:tcPr>
            <w:tcW w:type="dxa" w:w="113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Lưu trữ</w:t>
            </w:r>
          </w:p>
        </w:tc>
        <w:tc>
          <w:tcPr>
            <w:tcW w:type="dxa" w:w="464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Một bộ hồ sơ hoàn chỉnh theo mã chương trình; đối chiếu dự toán - thực chi</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Kế toán</w:t>
            </w:r>
          </w:p>
        </w:tc>
        <w:tc>
          <w:tcPr>
            <w:tcW w:type="dxa" w:w="56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w:t>
            </w:r>
          </w:p>
        </w:tc>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r>
          </w:p>
        </w:tc>
      </w:tr>
    </w:tbl>
    <w:p>
      <w:pPr>
        <w:spacing w:after="20"/>
      </w:pPr>
    </w:p>
    <w:p>
      <w:pPr>
        <w:spacing w:line="259" w:lineRule="auto" w:after="80"/>
      </w:pPr>
      <w:r>
        <w:rPr>
          <w:rFonts w:ascii="Times New Roman" w:hAnsi="Times New Roman" w:eastAsia="Times New Roman"/>
          <w:b w:val="0"/>
          <w:i w:val="0"/>
          <w:color w:val="000000"/>
          <w:sz w:val="22"/>
        </w:rPr>
        <w:t>Điểm kiểm soát: nếu thiếu danh sách người nhận hoặc chứng từ giao nhận, doanh nghiệp khó chứng minh khoản chi thực tế và đúng mục đích; nếu thiếu hóa đơn đầu ra, rủi ro nằm ở cả GTGT và tính nhất quán của hồ sơ kế toán.</w:t>
      </w:r>
    </w:p>
    <w:p>
      <w:r>
        <w:br w:type="page"/>
      </w:r>
    </w:p>
    <w:p>
      <w:pPr>
        <w:pStyle w:val="Heading1"/>
        <w:spacing w:before="160" w:after="80" w:line="240" w:lineRule="auto"/>
        <w:keepNext/>
      </w:pPr>
      <w:r>
        <w:rPr>
          <w:rFonts w:ascii="Times New Roman" w:hAnsi="Times New Roman" w:eastAsia="Times New Roman"/>
          <w:b/>
          <w:i w:val="0"/>
          <w:color w:val="000000"/>
          <w:sz w:val="25"/>
        </w:rPr>
        <w:t>PHỤ LỤC 05  MẪU BIÊN BẢN GIAO NHẬN QUÀ</w:t>
      </w:r>
    </w:p>
    <w:p>
      <w:pPr>
        <w:spacing w:line="259" w:lineRule="auto" w:after="80"/>
        <w:jc w:val="center"/>
      </w:pPr>
      <w:r>
        <w:rPr>
          <w:rFonts w:ascii="Times New Roman" w:hAnsi="Times New Roman" w:eastAsia="Times New Roman"/>
          <w:b w:val="0"/>
          <w:i w:val="0"/>
          <w:color w:val="000000"/>
          <w:sz w:val="22"/>
        </w:rPr>
        <w:t>CỘNG HÒA XÃ HỘI CHỦ NGHĨA VIỆT NAM</w:t>
        <w:br/>
        <w:t>Độc lập - Tự do - Hạnh phúc</w:t>
      </w:r>
    </w:p>
    <w:p>
      <w:pPr>
        <w:jc w:val="center"/>
      </w:pPr>
      <w:r>
        <w:rPr>
          <w:rFonts w:ascii="Times New Roman" w:hAnsi="Times New Roman" w:eastAsia="Times New Roman"/>
          <w:b/>
          <w:i w:val="0"/>
          <w:color w:val="000000"/>
          <w:sz w:val="26"/>
        </w:rPr>
        <w:t>BIÊN BẢN GIAO NHẬN QUÀ TRUNG THU NĂM 2026</w:t>
      </w:r>
    </w:p>
    <w:p>
      <w:pPr>
        <w:spacing w:line="259" w:lineRule="auto" w:after="80"/>
      </w:pPr>
      <w:r>
        <w:rPr>
          <w:rFonts w:ascii="Times New Roman" w:hAnsi="Times New Roman" w:eastAsia="Times New Roman"/>
          <w:b w:val="0"/>
          <w:i w:val="0"/>
          <w:color w:val="000000"/>
          <w:sz w:val="22"/>
        </w:rPr>
        <w:t>Hôm nay, ngày [...] tháng [...] năm 2026, tại [...], chúng tôi gồm:</w:t>
      </w:r>
    </w:p>
    <w:p>
      <w:pPr>
        <w:spacing w:line="259" w:lineRule="auto" w:after="80"/>
      </w:pPr>
      <w:r>
        <w:rPr>
          <w:rFonts w:ascii="Times New Roman" w:hAnsi="Times New Roman" w:eastAsia="Times New Roman"/>
          <w:b w:val="0"/>
          <w:i w:val="0"/>
          <w:color w:val="000000"/>
          <w:sz w:val="22"/>
        </w:rPr>
        <w:t>Bên giao: [Tên công ty] - Người giao: [...] - Chức vụ: [...].</w:t>
      </w:r>
    </w:p>
    <w:p>
      <w:pPr>
        <w:spacing w:line="259" w:lineRule="auto" w:after="80"/>
      </w:pPr>
      <w:r>
        <w:rPr>
          <w:rFonts w:ascii="Times New Roman" w:hAnsi="Times New Roman" w:eastAsia="Times New Roman"/>
          <w:b w:val="0"/>
          <w:i w:val="0"/>
          <w:color w:val="000000"/>
          <w:sz w:val="22"/>
        </w:rPr>
        <w:t>Bên nhận: [Họ tên/Đơn vị] - Chức vụ/Mã nhân viên: [...] - Địa chỉ/Bộ phận: [...].</w:t>
      </w:r>
    </w:p>
    <w:p>
      <w:pPr>
        <w:spacing w:line="259" w:lineRule="auto" w:after="80"/>
      </w:pPr>
      <w:r>
        <w:rPr>
          <w:rFonts w:ascii="Times New Roman" w:hAnsi="Times New Roman" w:eastAsia="Times New Roman"/>
          <w:b w:val="0"/>
          <w:i w:val="0"/>
          <w:color w:val="000000"/>
          <w:sz w:val="22"/>
        </w:rPr>
        <w:t>Căn cứ Quyết định số [..]/QĐ-[..] ngày [..]/[..]/2026, hai bên xác nhận việc giao nhận như sau:</w:t>
      </w:r>
    </w:p>
    <w:tbl>
      <w:tblPr>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STT</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Tên quà</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Đơn vị tính</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Số lượng</w:t>
            </w:r>
          </w:p>
        </w:tc>
        <w:tc>
          <w:tcPr>
            <w:tcW w:type="dxa" w:w="141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Giá trị tham chiếu</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Tình trạng</w:t>
            </w:r>
          </w:p>
        </w:tc>
        <w:tc>
          <w:tcPr>
            <w:tcW w:type="dxa" w:w="249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8"/>
              </w:rPr>
              <w:t>Ghi chú</w:t>
            </w:r>
          </w:p>
        </w:tc>
      </w:tr>
      <w:t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1</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41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t>Nguyên vẹn</w:t>
            </w:r>
          </w:p>
        </w:tc>
        <w:tc>
          <w:tcPr>
            <w:tcW w:type="dxa" w:w="249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8"/>
              </w:rPr>
            </w:r>
          </w:p>
        </w:tc>
      </w:tr>
      <w:tr>
        <w:tc>
          <w:tcPr>
            <w:tcW w:type="dxa" w:w="45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2</w:t>
            </w:r>
          </w:p>
        </w:tc>
        <w:tc>
          <w:tcPr>
            <w:tcW w:type="dxa" w:w="2268"/>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963"/>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85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1417"/>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w:t>
            </w:r>
          </w:p>
        </w:tc>
        <w:tc>
          <w:tcPr>
            <w:tcW w:type="dxa" w:w="119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t>Nguyên vẹn</w:t>
            </w:r>
          </w:p>
        </w:tc>
        <w:tc>
          <w:tcPr>
            <w:tcW w:type="dxa" w:w="249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8"/>
              </w:rPr>
            </w:r>
          </w:p>
        </w:tc>
      </w:tr>
    </w:tbl>
    <w:p>
      <w:pPr>
        <w:spacing w:after="20"/>
      </w:pPr>
    </w:p>
    <w:p>
      <w:pPr>
        <w:spacing w:line="259" w:lineRule="auto" w:after="80"/>
      </w:pPr>
      <w:r>
        <w:rPr>
          <w:rFonts w:ascii="Times New Roman" w:hAnsi="Times New Roman" w:eastAsia="Times New Roman"/>
          <w:b w:val="0"/>
          <w:i w:val="0"/>
          <w:color w:val="000000"/>
          <w:sz w:val="22"/>
        </w:rPr>
        <w:t>Bên nhận xác nhận đã nhận đủ quà theo bảng trên và chịu trách nhiệm thông báo ngay nếu có sai lệch về số lượng hoặc tình trạng. Biên bản được lập thành [...] bản, mỗi bên giữ [...] bản.</w:t>
      </w:r>
    </w:p>
    <w:tbl>
      <w:tblPr>
        <w:tblW w:type="auto" w:w="0"/>
        <w:tblLook w:firstColumn="1" w:firstRow="1" w:lastColumn="0" w:lastRow="0" w:noHBand="0" w:noVBand="1" w:val="04A0"/>
      </w:tblPr>
      <w:tblGrid>
        <w:gridCol w:w="4876"/>
        <w:gridCol w:w="4876"/>
      </w:tblGrid>
      <w:tr>
        <w:tc>
          <w:tcPr>
            <w:tcW w:type="dxa" w:w="4819"/>
            <w:tcBorders>
              <w:top w:val="nil"/>
              <w:left w:val="nil"/>
              <w:bottom w:val="nil"/>
              <w:right w:val="nil"/>
            </w:tcBorders>
          </w:tcPr>
          <w:p>
            <w:pPr>
              <w:spacing w:after="0"/>
              <w:jc w:val="center"/>
            </w:pPr>
            <w:r>
              <w:rPr>
                <w:rFonts w:ascii="Times New Roman" w:hAnsi="Times New Roman" w:eastAsia="Times New Roman"/>
                <w:b w:val="0"/>
                <w:i w:val="0"/>
                <w:color w:val="000000"/>
                <w:sz w:val="21"/>
              </w:rPr>
              <w:t>ĐẠI DIỆN BÊN GIAO</w:t>
              <w:br/>
              <w:t>(Ký, ghi rõ họ tên)</w:t>
              <w:br/>
              <w:br/>
              <w:br/>
              <w:t>[...]</w:t>
            </w:r>
          </w:p>
        </w:tc>
        <w:tc>
          <w:tcPr>
            <w:tcW w:type="dxa" w:w="4819"/>
            <w:tcBorders>
              <w:top w:val="nil"/>
              <w:left w:val="nil"/>
              <w:bottom w:val="nil"/>
              <w:right w:val="nil"/>
            </w:tcBorders>
          </w:tcPr>
          <w:p>
            <w:pPr>
              <w:spacing w:after="0"/>
              <w:jc w:val="center"/>
            </w:pPr>
            <w:r>
              <w:rPr>
                <w:rFonts w:ascii="Times New Roman" w:hAnsi="Times New Roman" w:eastAsia="Times New Roman"/>
                <w:b w:val="0"/>
                <w:i w:val="0"/>
                <w:color w:val="000000"/>
                <w:sz w:val="21"/>
              </w:rPr>
              <w:t>ĐẠI DIỆN BÊN NHẬN</w:t>
              <w:br/>
              <w:t>(Ký, ghi rõ họ tên)</w:t>
              <w:br/>
              <w:br/>
              <w:br/>
              <w:t>[...]</w:t>
            </w:r>
          </w:p>
        </w:tc>
      </w:tr>
    </w:tbl>
    <w:p>
      <w:r>
        <w:br w:type="page"/>
      </w:r>
    </w:p>
    <w:p>
      <w:pPr>
        <w:pStyle w:val="Heading1"/>
        <w:spacing w:before="160" w:after="80" w:line="240" w:lineRule="auto"/>
        <w:keepNext/>
      </w:pPr>
      <w:r>
        <w:rPr>
          <w:rFonts w:ascii="Times New Roman" w:hAnsi="Times New Roman" w:eastAsia="Times New Roman"/>
          <w:b/>
          <w:i w:val="0"/>
          <w:color w:val="000000"/>
          <w:sz w:val="25"/>
        </w:rPr>
        <w:t>PHỤ LỤC 06  GHI CHÚ THUẾ VÀ ĐỊNH KHOẢN THAM KHẢO</w:t>
      </w:r>
    </w:p>
    <w:p>
      <w:pPr>
        <w:spacing w:line="259" w:lineRule="auto" w:after="80"/>
      </w:pPr>
      <w:r>
        <w:rPr>
          <w:rFonts w:ascii="Times New Roman" w:hAnsi="Times New Roman" w:eastAsia="Times New Roman"/>
          <w:b w:val="0"/>
          <w:i w:val="0"/>
          <w:color w:val="000000"/>
          <w:sz w:val="22"/>
        </w:rPr>
        <w:t>Phụ lục này dùng để kiểm soát hồ sơ. Khi có nhiều loại quà hoặc nhiều nguồn kinh phí, Kế toán phải chọn đúng bản chất giao dịch và chính sách kế toán của Công ty.</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Tình huống</w:t>
            </w:r>
          </w:p>
        </w:tc>
        <w:tc>
          <w:tcPr>
            <w:tcW w:type="dxa" w:w="357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Thuế/hóa đơn cần kiểm tra</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Định khoản tham khảo theo TT99</w:t>
            </w:r>
          </w:p>
        </w:tc>
      </w:tr>
      <w:tr>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Tặng tiền hoặc voucher cho người lao động</w:t>
            </w:r>
          </w:p>
        </w:tc>
        <w:tc>
          <w:tcPr>
            <w:tcW w:type="dxa" w:w="357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Tính vào thu nhập từ tiền lương, tiền công theo quy định TNCN 2026; khấu trừ hoặc gross-up theo quyết định.</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Nợ 3532 hoặc chi phí phù hợp / Có 334; khi khấu trừ TNCN: Nợ 334 / Có 3335; khi chi: Nợ 334 / Có 111, 112.</w:t>
            </w:r>
          </w:p>
        </w:tc>
      </w:tr>
      <w:tr>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Tặng hàng hóa của Công ty cho người lao động, chi từ quỹ phúc lợi</w:t>
            </w:r>
          </w:p>
        </w:tc>
        <w:tc>
          <w:tcPr>
            <w:tcW w:type="dxa" w:w="357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Lập hóa đơn điện tử; GTGT theo giá hàng cùng loại/tương đương; đầu vào được kiểm tra điều kiện khấu trừ.</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Theo hướng dẫn TK 353 của TT99: Nợ TK 353 tổng giá thanh toán / Có TK 511, Có TK 3331; đồng thời ghi giá vốn khi xuất kho theo loại hàng.</w:t>
            </w:r>
          </w:p>
        </w:tc>
      </w:tr>
      <w:tr>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Mua hàng bên ngoài để tặng</w:t>
            </w:r>
          </w:p>
        </w:tc>
        <w:tc>
          <w:tcPr>
            <w:tcW w:type="dxa" w:w="357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Hóa đơn đầu vào; thanh toán; hóa đơn đầu ra khi chuyển quyền sở hữu; lưu bảng kê người nhận.</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Nợ TK 3532 hoặc 641/642 theo nguồn và đối tượng; Nợ TK 1331 nếu đủ điều kiện; Có 111/112/331. Thuế GTGT đầu ra ghi nhận theo hồ sơ hóa đơn.</w:t>
            </w:r>
          </w:p>
        </w:tc>
      </w:tr>
      <w:tr>
        <w:tc>
          <w:tcPr>
            <w:tcW w:type="dxa" w:w="1984"/>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Tặng quà cho đối tác</w:t>
            </w:r>
          </w:p>
        </w:tc>
        <w:tc>
          <w:tcPr>
            <w:tcW w:type="dxa" w:w="357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Không xếp vào phúc lợi người lao động; chứng minh liên quan hoạt động kinh doanh, danh sách đối tác, mục đích, giao nhận, hóa đơn và thanh toán.</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Thường theo dõi vào 641/642 hoặc tài khoản chi phí phù hợp; không dùng TK 3532 nếu không phải quà phúc lợi cho người lao động.</w:t>
            </w:r>
          </w:p>
        </w:tc>
      </w:tr>
    </w:tbl>
    <w:p>
      <w:pPr>
        <w:spacing w:after="20"/>
      </w:pPr>
    </w:p>
    <w:p>
      <w:pPr>
        <w:spacing w:line="259" w:lineRule="auto" w:after="80"/>
      </w:pPr>
      <w:r>
        <w:rPr>
          <w:rFonts w:ascii="Times New Roman" w:hAnsi="Times New Roman" w:eastAsia="Times New Roman"/>
          <w:b w:val="0"/>
          <w:i w:val="0"/>
          <w:color w:val="000000"/>
          <w:sz w:val="22"/>
        </w:rPr>
        <w:t>Không dùng bảng định khoản này để thay thế việc xác định bản chất giao dịch. Đặc biệt, cần phân biệt: (i) quà phúc lợi; (ii) thưởng có tính chất tiền lương; (iii) hàng khuyến mại theo pháp luật thương mại; và (iv) quà tặng đối tác phục vụ hoạt động kinh doanh.</w:t>
      </w:r>
    </w:p>
    <w:p>
      <w:pPr>
        <w:pStyle w:val="Heading1"/>
        <w:spacing w:before="160" w:after="80" w:line="240" w:lineRule="auto"/>
        <w:keepNext/>
      </w:pPr>
      <w:r>
        <w:rPr>
          <w:rFonts w:ascii="Times New Roman" w:hAnsi="Times New Roman" w:eastAsia="Times New Roman"/>
          <w:b/>
          <w:i w:val="0"/>
          <w:color w:val="000000"/>
          <w:sz w:val="25"/>
        </w:rPr>
        <w:t>PHỤ LỤC 07  CĂN CỨ PHÁP LÝ VÀ PHẠM VI ÁP DỤNG</w:t>
      </w:r>
    </w:p>
    <w:p>
      <w:pPr>
        <w:spacing w:line="259" w:lineRule="auto" w:after="80"/>
      </w:pPr>
      <w:r>
        <w:rPr>
          <w:rFonts w:ascii="Times New Roman" w:hAnsi="Times New Roman" w:eastAsia="Times New Roman"/>
          <w:b w:val="0"/>
          <w:i w:val="0"/>
          <w:color w:val="000000"/>
          <w:sz w:val="22"/>
        </w:rPr>
        <w:t>Danh mục dưới đây được rà soát đến ngày 09/09/2026. Khi ban hành quyết định cho năm sau, Kế toán phải kiểm tra lại hiệu lực và văn bản sửa đổi tại thời điểm sử dụng.</w:t>
      </w:r>
    </w:p>
    <w:tbl>
      <w:tblPr>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Nhóm vấn đề</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Văn bản sử dụng</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1F4E78" w:val="clear"/>
          </w:tcPr>
          <w:p>
            <w:pPr>
              <w:spacing w:after="0" w:line="240" w:lineRule="auto"/>
            </w:pPr>
            <w:r>
              <w:rPr>
                <w:rFonts w:ascii="Times New Roman" w:hAnsi="Times New Roman" w:eastAsia="Times New Roman"/>
                <w:b/>
                <w:i w:val="0"/>
                <w:color w:val="FFFFFF"/>
                <w:sz w:val="17"/>
              </w:rPr>
              <w:t>Nội dung áp dụng trong mẫu</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Thẩm quyền ban hành</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Luật Doanh nghiệp số 59/2020/QH14 và văn bản sửa đổi; Điều lệ Công ty</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Xác định thẩm quyền ký và trách nhiệm tổ chức thực hiện.</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Thuế TNDN</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Luật Thuế TNDN số 67/2025/QH15; Nghị định 320/2025/NĐ-CP được sửa đổi, bổ sung bởi Nghị định 141/2026/NĐ-CP và đính chính tại Quyết định 517/QĐ-BTC; Thông tư 20/2026/TT-BTC</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Điều kiện chi phí được trừ; giới hạn 01 tháng lương bình quân thực tế đối với chi phúc lợi trực tiếp cho người lao động; hồ sơ và thanh toán.</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Thuế TNCN</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Luật Thuế TNCN số 109/2025/QH15, được sửa đổi bởi Luật số 09/2026/QH16; Nghị định 253/2026/NĐ-CP; Thông tư 87/2026/TT-BTC</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Quà/bonus/lợi ích từ người sử dụng lao động bằng tiền hoặc không bằng tiền được rà soát trong thu nhập tiền lương, tiền công từ kỳ tính thuế 2026.</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Thuế GTGT</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Luật Thuế GTGT số 48/2024/QH15 và văn bản sửa đổi; Nghị định 181/2025/NĐ-CP được sửa đổi bởi Nghị định 359/2025/NĐ-CP và Nghị định 144/2026/NĐ-CP; Thông tư 69/2025/TT-BTC</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Giá tính thuế hàng cho, biếu, tặng; khấu trừ đầu vào; phân biệt quà tặng với khuyến mại đúng pháp luật thương mại.</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Hóa đơn điện tử</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Luật Quản lý thuế số 108/2025/QH15; Nghị định 254/2026/NĐ-CP; Thông tư 91/2026/TT-BTC</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tcPr>
          <w:p>
            <w:pPr>
              <w:spacing w:after="0" w:line="240" w:lineRule="auto"/>
            </w:pPr>
            <w:r>
              <w:rPr>
                <w:rFonts w:ascii="Times New Roman" w:hAnsi="Times New Roman" w:eastAsia="Times New Roman"/>
                <w:b w:val="0"/>
                <w:i w:val="0"/>
                <w:color w:val="000000"/>
                <w:sz w:val="17"/>
              </w:rPr>
              <w:t>Lập hóa đơn khi hàng hóa, dịch vụ dùng để cho, biếu, tặng; được lập hóa đơn tổng hợp theo kỳ phù hợp nếu đủ hồ sơ chi tiết.</w:t>
            </w:r>
          </w:p>
        </w:tc>
      </w:tr>
      <w:tr>
        <w:tc>
          <w:tcPr>
            <w:tcW w:type="dxa" w:w="1701"/>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Kế toán</w:t>
            </w:r>
          </w:p>
        </w:tc>
        <w:tc>
          <w:tcPr>
            <w:tcW w:type="dxa" w:w="4082"/>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Thông tư 99/2025/TT-BTC, áp dụng từ ngày 01/01/2026</w:t>
            </w:r>
          </w:p>
        </w:tc>
        <w:tc>
          <w:tcPr>
            <w:tcW w:type="dxa" w:w="3855"/>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5F8FB" w:val="clear"/>
          </w:tcPr>
          <w:p>
            <w:pPr>
              <w:spacing w:after="0" w:line="240" w:lineRule="auto"/>
            </w:pPr>
            <w:r>
              <w:rPr>
                <w:rFonts w:ascii="Times New Roman" w:hAnsi="Times New Roman" w:eastAsia="Times New Roman"/>
                <w:b w:val="0"/>
                <w:i w:val="0"/>
                <w:color w:val="000000"/>
                <w:sz w:val="17"/>
              </w:rPr>
              <w:t>Theo dõi TK 3532, TK 334, TK 3331, TK 3335 và chi phí liên quan; không tiếp tục mặc định dùng hướng dẫn TT200 cho nghiệp vụ phát sinh từ năm 2026.</w:t>
            </w:r>
          </w:p>
        </w:tc>
      </w:tr>
    </w:tbl>
    <w:p>
      <w:pPr>
        <w:spacing w:after="20"/>
      </w:pPr>
    </w:p>
    <w:p>
      <w:r>
        <w:br w:type="page"/>
      </w:r>
    </w:p>
    <w:p>
      <w:pPr>
        <w:pStyle w:val="Heading1"/>
        <w:spacing w:before="160" w:after="80" w:line="240" w:lineRule="auto"/>
        <w:keepNext/>
      </w:pPr>
      <w:r>
        <w:rPr>
          <w:rFonts w:ascii="Times New Roman" w:hAnsi="Times New Roman" w:eastAsia="Times New Roman"/>
          <w:b/>
          <w:i w:val="0"/>
          <w:color w:val="000000"/>
          <w:sz w:val="25"/>
        </w:rPr>
        <w:t>GÓP Ý CHUYÊN MÔN KHI ĐƯA VÀO SỬ DỤNG</w:t>
      </w:r>
    </w:p>
    <w:p>
      <w:pPr>
        <w:pStyle w:val="ListBullet"/>
        <w:spacing w:after="40" w:line="252" w:lineRule="auto"/>
      </w:pPr>
      <w:r>
        <w:rPr>
          <w:rFonts w:ascii="Times New Roman" w:hAnsi="Times New Roman" w:eastAsia="Times New Roman"/>
          <w:b w:val="0"/>
          <w:i w:val="0"/>
          <w:color w:val="000000"/>
          <w:sz w:val="21"/>
        </w:rPr>
        <w:t>Không nên ban hành quyết định chỉ ghi 'tặng quà cho nhân viên và đối tác' mà không có danh sách, tiêu chí, mức quà, ngân sách và người chịu trách nhiệm.</w:t>
      </w:r>
    </w:p>
    <w:p>
      <w:pPr>
        <w:pStyle w:val="ListBullet"/>
        <w:spacing w:after="40" w:line="252" w:lineRule="auto"/>
      </w:pPr>
      <w:r>
        <w:rPr>
          <w:rFonts w:ascii="Times New Roman" w:hAnsi="Times New Roman" w:eastAsia="Times New Roman"/>
          <w:b w:val="0"/>
          <w:i w:val="0"/>
          <w:color w:val="000000"/>
          <w:sz w:val="21"/>
        </w:rPr>
        <w:t>Không nên ghi mọi khoản quà đối tác vào quỹ phúc lợi; quỹ phúc lợi là hồ sơ riêng cho người lao động và phải theo dõi được số dư, mục đích sử dụng.</w:t>
      </w:r>
    </w:p>
    <w:p>
      <w:pPr>
        <w:pStyle w:val="ListBullet"/>
        <w:spacing w:after="40" w:line="252" w:lineRule="auto"/>
      </w:pPr>
      <w:r>
        <w:rPr>
          <w:rFonts w:ascii="Times New Roman" w:hAnsi="Times New Roman" w:eastAsia="Times New Roman"/>
          <w:b w:val="0"/>
          <w:i w:val="0"/>
          <w:color w:val="000000"/>
          <w:sz w:val="21"/>
        </w:rPr>
        <w:t>Không nên xuất hóa đơn đầu ra bằng 0 chỉ vì không thu tiền. Giá 0 chỉ dành cho trường hợp khuyến mại đúng quy định; quà Trung Thu thông thường phải xử lý như hàng cho, biếu, tặng.</w:t>
      </w:r>
    </w:p>
    <w:p>
      <w:pPr>
        <w:pStyle w:val="ListBullet"/>
        <w:spacing w:after="40" w:line="252" w:lineRule="auto"/>
      </w:pPr>
      <w:r>
        <w:rPr>
          <w:rFonts w:ascii="Times New Roman" w:hAnsi="Times New Roman" w:eastAsia="Times New Roman"/>
          <w:b w:val="0"/>
          <w:i w:val="0"/>
          <w:color w:val="000000"/>
          <w:sz w:val="21"/>
        </w:rPr>
        <w:t>Không nên ghi mức quà cho người lao động là 'đã bao gồm tất cả thuế' nếu doanh nghiệp chưa quyết định ai chịu TNCN. Đây là điểm dễ làm sai ngân sách và bảng lương.</w:t>
      </w:r>
    </w:p>
    <w:p>
      <w:pPr>
        <w:pStyle w:val="ListBullet"/>
        <w:spacing w:after="40" w:line="252" w:lineRule="auto"/>
      </w:pPr>
      <w:r>
        <w:rPr>
          <w:rFonts w:ascii="Times New Roman" w:hAnsi="Times New Roman" w:eastAsia="Times New Roman"/>
          <w:b w:val="0"/>
          <w:i w:val="0"/>
          <w:color w:val="000000"/>
          <w:sz w:val="21"/>
        </w:rPr>
        <w:t>Nếu doanh nghiệp mới thành lập chưa có quỹ phúc lợi hoặc chưa có quy chế chi tiêu nội bộ, nên dùng nguồn chi phí hoạt động theo ngân sách được phê duyệt và ban hành bổ sung quy chế áp dụng cho các chương trình phúc lợi tiếp theo.</w:t>
      </w:r>
    </w:p>
    <w:sectPr w:rsidR="00FC693F" w:rsidRPr="0006063C" w:rsidSect="00034616">
      <w:pgSz w:w="11906" w:h="16838"/>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666666"/>
        <w:sz w:val="17"/>
      </w:rPr>
      <w:t xml:space="preserve">Quyết định tặng quà Trung Thu | 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0,21600"/>
          </v:handles>
          <o:lock v:ext="edit" text="t" shapetype="t"/>
        </v:shapetype>
        <v:shape id="PowerPlusWaterMarkObject1" o:spid="_x0000_s1026" type="#_x0000_t136" style="position:absolute;margin-left:0;margin-top:0;width:415.4pt;height:207.7pt;rotation:315;z-index:-251657216;mso-position-horizontal:center;mso-position-horizontal-relative:margin;mso-position-vertical:center;mso-position-vertical-relative:margin" o:allowincell="f" fillcolor="#D8D8D8" stroked="f">
          <v:fill opacity=".5"/>
          <v:textpath style="font-family:'Times New Roman';font-size:1pt" string="Mr Wick Kiểm toán"/>
        </v:shape>
      </w:pict>
    </w:r>
  </w:p>
  <w:p>
    <w:pPr>
      <w:pStyle w:val="Header"/>
      <w:jc w:val="right"/>
    </w:pPr>
    <w:r>
      <w:rPr>
        <w:rFonts w:ascii="Times New Roman" w:hAnsi="Times New Roman" w:eastAsia="Times New Roman"/>
        <w:b w:val="0"/>
        <w:i/>
        <w:color w:val="666666"/>
        <w:sz w:val="17"/>
      </w:rPr>
      <w:t>Mẫu nội bộ | Cập nhật 09/09/2026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tặng quà Trung Thu năm 2026</dc:title>
  <dc:subject>Mẫu quyết định và bộ hồ sơ thực hiện cho doanh nghiệp</dc:subject>
  <dc:creator/>
  <cp:keywords/>
  <dc:description>Cập nhật pháp lý đến ngày 09/09/2026</dc:description>
  <cp:lastModifiedBy/>
  <cp:revision>1</cp:revision>
  <dcterms:created xsi:type="dcterms:W3CDTF">2013-12-23T23:15:00Z</dcterms:created>
  <dcterms:modified xsi:type="dcterms:W3CDTF">2013-12-23T23:15:00Z</dcterms:modified>
  <cp:category/>
</cp:coreProperties>
</file>