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00"/>
        <w:jc w:val="center"/>
      </w:pPr>
      <w:r>
        <w:rPr>
          <w:rFonts w:ascii="Times New Roman" w:cs="Times New Roman" w:eastAsia="Times New Roman" w:hAnsi="Times New Roman"/>
          <w:b/>
          <w:bCs/>
          <w:color w:val="17365D"/>
          <w:sz w:val="34"/>
          <w:szCs w:val="34"/>
        </w:rPr>
        <w:t xml:space="preserve">QUY CHẾ QUẢN LÝ</w:t>
      </w:r>
    </w:p>
    <w:p>
      <w:pPr>
        <w:spacing w:after="40" w:before="0" w:line="300"/>
        <w:jc w:val="center"/>
      </w:pPr>
      <w:r>
        <w:rPr>
          <w:rFonts w:ascii="Times New Roman" w:cs="Times New Roman" w:eastAsia="Times New Roman" w:hAnsi="Times New Roman"/>
          <w:b/>
          <w:bCs/>
          <w:color w:val="17365D"/>
          <w:sz w:val="34"/>
          <w:szCs w:val="34"/>
        </w:rPr>
        <w:t xml:space="preserve">HÀNG TỒN KHO 2026</w:t>
      </w:r>
    </w:p>
    <w:p>
      <w:pPr>
        <w:spacing w:after="60"/>
      </w:pPr>
    </w:p>
    <w:p>
      <w:pPr>
        <w:spacing w:after="100" w:before="0" w:line="300"/>
        <w:jc w:val="center"/>
      </w:pPr>
      <w:r>
        <w:rPr>
          <w:rFonts w:ascii="Times New Roman" w:cs="Times New Roman" w:eastAsia="Times New Roman" w:hAnsi="Times New Roman"/>
          <w:i/>
          <w:iCs/>
          <w:sz w:val="26"/>
          <w:szCs w:val="26"/>
        </w:rPr>
        <w:t xml:space="preserve">Nhập – Xuất – Bảo quản – Kiểm kê – Hao hụt – Dự phòng giảm giá</w:t>
      </w:r>
    </w:p>
    <w:p>
      <w:pPr>
        <w:spacing w:after="100" w:before="0" w:line="300"/>
        <w:jc w:val="center"/>
      </w:pPr>
      <w:r>
        <w:rPr>
          <w:rFonts w:ascii="Times New Roman" w:cs="Times New Roman" w:eastAsia="Times New Roman" w:hAnsi="Times New Roman"/>
          <w:i/>
          <w:iCs/>
          <w:sz w:val="26"/>
          <w:szCs w:val="26"/>
        </w:rPr>
        <w:t xml:space="preserve">Dùng kèm file W1_QUAN_LY_KHO.xlsx</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Thông tin</w:t>
            </w:r>
          </w:p>
        </w:tc>
        <w:tc>
          <w:tcPr>
            <w:tcW w:type="dxa" w:w="64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áp dụng</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[TÊN DOANH NGHIỆP]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Trụ sở</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[TỈNH/THÀNH PHỐ]</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Phiên bản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07/10/2026</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Đơn vị biên soạn</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t>KK HOME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Phạm vi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Nguyên vật liệu, công cụ dụng cụ trong kho, thành phẩm, hàng hóa; định mức hao hụt; kiểm kê; dự phòng giảm giá; xử lý hàng hư hỏng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Thành phần bộ mẫu</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Hướng dẫn sử dụng – Quyết định ban hành – Quy chế 6 chương – Bảng định mức hao hụt – 04 biểu mẫu</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PHẠM VI SỬ DỤNG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Áp dụng cho doanh nghiệp thương mại, sản xuất có hàng tồn kho. Doanh nghiệp dịch vụ chỉ dùng phần vật tư tiêu hao.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Phương pháp tính giá xuất kho, phương pháp hạch toán (kê khai thường xuyên) do doanh nghiệp chọn trong chính sách kế toán và áp dụng nhất quán trong năm tài chính.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Định mức hao hụt tại Phụ lục 01 là mẫu. Bạn xây dựng theo đặc tính hàng hóa, số liệu thực tế 2–3 năm và có hồ sơ chứng minh.</w:t>
      </w:r>
    </w:p>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CÁC THÔNG SỐ ĐÃ ĐIỀN SẴN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900"/>
        <w:gridCol w:w="3171"/>
      </w:tblGrid>
      <w:tr>
        <w:trPr>
          <w:tblHeader/>
        </w:trPr>
        <w:tc>
          <w:tcPr>
            <w:tcW w:type="dxa" w:w="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STT</w:t>
            </w:r>
          </w:p>
        </w:tc>
        <w:tc>
          <w:tcPr>
            <w:tcW w:type="dxa" w:w="24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Nội dung</w:t>
            </w:r>
          </w:p>
        </w:tc>
        <w:tc>
          <w:tcPr>
            <w:tcW w:type="dxa" w:w="2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Mức đề xuất</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2"/>
                <w:szCs w:val="22"/>
              </w:rPr>
              <w:t xml:space="preserve">Ghi chú</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1</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Phương pháp tính giá xuất kho</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[Bình quân gia quyền cuối kỳ]</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Hoặc nhập trước – xuất trước, thực tế đích danh.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Kiểm kê định kỳ</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Hằng quý (hàng giá trị cao); 30/6 và 31/12 (toàn bộ)</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Kiểm kê chọn mẫu hằng tháng [10]% mã hàng.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3</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Hàng chậm luân chuyển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Không phát sinh xuất trong [180] ngày</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Báo cáo hằng quý để xem xét dự phòng.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4</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Thời hạn lập phiếu nhập/xuất</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Trong ngày phát sinh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Không xuất hàng khi chưa có phiếu xuất được duyệt.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2"/>
                <w:szCs w:val="22"/>
              </w:rPr>
              <w:t xml:space="preserve">5</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Ngưỡng chênh lệch kiểm kê phải giải trình</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Từ [0,5]% giá trị mã hàng hoặc [2.000.000] đồng</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2"/>
                <w:szCs w:val="22"/>
              </w:rPr>
              <w:t xml:space="preserve">Dưới ngưỡng xử lý theo quyết định Giám đốc.</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ĐÁNH GIÁ RỦI RO TRỰC TIẾP</w:t>
      </w:r>
    </w:p>
    <w:p>
      <w:pPr>
        <w:spacing w:after="100" w:before="0" w:line="300"/>
        <w:jc w:val="both"/>
      </w:pPr>
      <w:r>
        <w:rPr>
          <w:rFonts w:ascii="Times New Roman" w:cs="Times New Roman" w:eastAsia="Times New Roman" w:hAnsi="Times New Roman"/>
          <w:i/>
          <w:iCs/>
          <w:sz w:val="26"/>
          <w:szCs w:val="26"/>
        </w:rPr>
        <w:t xml:space="preserve">Các điểm dễ phát sinh sai sót, chi phí bị loại hoặc tranh chấp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950"/>
        <w:gridCol w:w="3171"/>
        <w:gridCol w:w="2800"/>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Khoản mục</w:t>
            </w:r>
          </w:p>
        </w:tc>
        <w:tc>
          <w:tcPr>
            <w:tcW w:type="dxa" w:w="9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Rủi ro</w:t>
            </w:r>
          </w:p>
        </w:tc>
        <w:tc>
          <w:tcPr>
            <w:tcW w:type="dxa" w:w="31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Nhận định</w:t>
            </w:r>
          </w:p>
        </w:tc>
        <w:tc>
          <w:tcPr>
            <w:tcW w:type="dxa" w:w="2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Biện pháp kiểm soát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Hao hụt không có định mức, không có hồ sơ</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Giá trị hàng hao hụt, mất mát không có hồ sơ có thể không được tính vào chi phí được trừ.</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Ban hành định mức; lập biên bản xác định nguyên nhân, trách nhiệm.</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Hủy hàng hết hạn không lập hồ sơ</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chứng minh được giá trị hàng tiêu hủy.</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Hội đồng xử lý, biên bản tiêu hủy, hình ảnh/video, hợp đồng với đơn vị xử lý chất thải (nếu có).</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Sổ kho và sổ kế toán lệch nhau</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BCTC sai, giá vốn sai.</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Đối chiếu thủ kho – kế toán hằng tháng theo mã hàng.</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Trích dự phòng không đủ căn cứ</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Khoản dự phòng không đáp ứng điều kiện có thể bị loại.</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Có bảng giá thị trường, hóa đơn bán gần nhất, báo cáo hàng chậm luân chuyển.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Xuất hàng cho mượn, khuyến mại, biếu tặng không lập hóa đơn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Cao</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Thiếu doanh thu tính thuế; xử phạt hóa đơn.</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Xuất kho kèm loại chứng từ, hóa đơn phù hợp theo quy định về hóa đơn.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Thủ kho kiêm kế toán kho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Không phát hiện thiếu hụt.</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0"/>
                <w:szCs w:val="20"/>
              </w:rPr>
              <w:t xml:space="preserve">Tách vai trò; kiểm kê chọn mẫu đột xuất.</w:t>
            </w:r>
          </w:p>
        </w:tc>
      </w:tr>
    </w:tbl>
    <w:p>
      <w:pPr>
        <w:keepNext/>
        <w:pBdr>
          <w:bottom w:val="single" w:color="17365D" w:sz="6" w:space="2"/>
        </w:pBdr>
        <w:spacing w:after="120" w:before="240"/>
      </w:pPr>
      <w:r>
        <w:rPr>
          <w:rFonts w:ascii="Times New Roman" w:cs="Times New Roman" w:eastAsia="Times New Roman" w:hAnsi="Times New Roman"/>
          <w:b/>
          <w:bCs/>
          <w:color w:val="17365D"/>
          <w:sz w:val="28"/>
          <w:szCs w:val="28"/>
        </w:rPr>
        <w:t xml:space="preserve">KHUYẾN NGHỊ TRIỂN KHAI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Mã hóa toàn bộ mặt hàng, dùng chung một bộ mã giữa kho và kế toán.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Ban hành định mức hao hụt trước kỳ kế toán năm.</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Bố trí kho theo khu vực, có thẻ kho tại vị trí hàng.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Báo cáo hàng chậm luân chuyển hằng quý cho Giám đốc và bộ phận kinh doanh.</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Lưu ý phản biện:</w:t>
            </w:r>
            <w:r>
              <w:rPr>
                <w:rFonts w:ascii="Times New Roman" w:cs="Times New Roman" w:eastAsia="Times New Roman" w:hAnsi="Times New Roman"/>
                <w:b w:val="false"/>
                <w:bCs w:val="false"/>
                <w:sz w:val="23"/>
                <w:szCs w:val="23"/>
              </w:rPr>
              <w:t xml:space="preserve"> Tồn kho là nơi "giấu" lợi nhuận và giấu thất thoát dễ nhất. Một kho có sổ đẹp nhưng không kiểm kê thực tế, không có định mức, không có biên bản hủy hàng sẽ không đứng vững khi bị kiểm tra.</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c>
          <w:tcPr>
            <w:tcW w:type="dxa" w:w="3800"/>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bCs/>
                <w:sz w:val="24"/>
                <w:szCs w:val="24"/>
              </w:rPr>
              <w:t xml:space="preserve">[TÊN DOANH NGHIỆP]</w:t>
            </w:r>
          </w:p>
          <w:p>
            <w:pPr>
              <w:spacing w:after="20"/>
              <w:jc w:val="center"/>
            </w:pPr>
            <w:r>
              <w:rPr>
                <w:rFonts w:ascii="Times New Roman" w:cs="Times New Roman" w:eastAsia="Times New Roman" w:hAnsi="Times New Roman"/>
                <w:sz w:val="24"/>
                <w:szCs w:val="24"/>
              </w:rPr>
              <w:t xml:space="preserve">Số: [SỐ]/2026/QĐ-[MÃ DN]</w:t>
            </w:r>
          </w:p>
        </w:tc>
        <w:tc>
          <w:tcPr>
            <w:tcW w:type="dxa" w:w="5271"/>
            <w:tcBorders>
              <w:top w:val="none" w:color="FFFFFF" w:sz="0"/>
              <w:left w:val="none" w:color="FFFFFF" w:sz="0"/>
              <w:bottom w:val="none" w:color="FFFFFF" w:sz="0"/>
              <w:right w:val="none" w:color="FFFFFF" w:sz="0"/>
            </w:tcBorders>
          </w:tcPr>
          <w:p>
            <w:pPr>
              <w:spacing w:after="20"/>
              <w:jc w:val="center"/>
            </w:pPr>
            <w:r>
              <w:rPr>
                <w:rFonts w:ascii="Times New Roman" w:cs="Times New Roman" w:eastAsia="Times New Roman" w:hAnsi="Times New Roman"/>
                <w:b/>
                <w:bCs/>
                <w:sz w:val="24"/>
                <w:szCs w:val="24"/>
              </w:rPr>
              <w:t xml:space="preserve">CỘNG HÒA XÃ HỘI CHỦ NGHĨA VIỆT NAM</w:t>
            </w:r>
          </w:p>
          <w:p>
            <w:pPr>
              <w:spacing w:after="20"/>
              <w:jc w:val="center"/>
            </w:pPr>
            <w:r>
              <w:rPr>
                <w:rFonts w:ascii="Times New Roman" w:cs="Times New Roman" w:eastAsia="Times New Roman" w:hAnsi="Times New Roman"/>
                <w:b/>
                <w:bCs/>
                <w:sz w:val="24"/>
                <w:szCs w:val="24"/>
              </w:rPr>
              <w:t xml:space="preserve">Độc lập - Tự do - Hạnh phúc</w:t>
            </w:r>
          </w:p>
        </w:tc>
      </w:tr>
    </w:tbl>
    <w:p>
      <w:pPr>
        <w:spacing w:after="60"/>
      </w:pPr>
    </w:p>
    <w:p>
      <w:pPr>
        <w:spacing w:after="100" w:before="0" w:line="300"/>
        <w:jc w:val="right"/>
      </w:pPr>
      <w:r>
        <w:rPr>
          <w:rFonts w:ascii="Times New Roman" w:cs="Times New Roman" w:eastAsia="Times New Roman" w:hAnsi="Times New Roman"/>
          <w:i/>
          <w:iCs/>
          <w:sz w:val="26"/>
          <w:szCs w:val="26"/>
        </w:rPr>
        <w:t xml:space="preserve">[TỈNH/THÀNH PHỐ], ngày [NGÀY] tháng [THÁNG] năm 2026</w:t>
      </w:r>
    </w:p>
    <w:p>
      <w:pPr>
        <w:spacing w:after="40" w:before="120" w:line="300"/>
        <w:jc w:val="center"/>
      </w:pPr>
      <w:r>
        <w:rPr>
          <w:rFonts w:ascii="Times New Roman" w:cs="Times New Roman" w:eastAsia="Times New Roman" w:hAnsi="Times New Roman"/>
          <w:b/>
          <w:bCs/>
          <w:sz w:val="30"/>
          <w:szCs w:val="30"/>
        </w:rPr>
        <w:t xml:space="preserve">QUYẾT ĐỊNH</w:t>
      </w:r>
    </w:p>
    <w:p>
      <w:pPr>
        <w:spacing w:after="160" w:before="0" w:line="300"/>
        <w:jc w:val="center"/>
      </w:pPr>
      <w:r>
        <w:rPr>
          <w:rFonts w:ascii="Times New Roman" w:cs="Times New Roman" w:eastAsia="Times New Roman" w:hAnsi="Times New Roman"/>
          <w:b/>
          <w:bCs/>
          <w:sz w:val="26"/>
          <w:szCs w:val="26"/>
        </w:rPr>
        <w:t xml:space="preserve">Về việc ban hành Quy chế quản lý hàng tồn kho</w:t>
      </w:r>
    </w:p>
    <w:p>
      <w:pPr>
        <w:spacing w:after="160" w:before="0" w:line="300"/>
        <w:jc w:val="center"/>
      </w:pPr>
      <w:r>
        <w:rPr>
          <w:rFonts w:ascii="Times New Roman" w:cs="Times New Roman" w:eastAsia="Times New Roman" w:hAnsi="Times New Roman"/>
          <w:b/>
          <w:bCs/>
          <w:sz w:val="26"/>
          <w:szCs w:val="26"/>
        </w:rPr>
        <w:t xml:space="preserve">[CHỨC DANH NGƯỜI CÓ THẨM QUYỀN]</w:t>
      </w:r>
    </w:p>
    <w:p>
      <w:pPr>
        <w:spacing w:after="60" w:before="0" w:line="300"/>
        <w:jc w:val="both"/>
      </w:pPr>
      <w:r>
        <w:rPr>
          <w:rFonts w:ascii="Times New Roman" w:cs="Times New Roman" w:eastAsia="Times New Roman" w:hAnsi="Times New Roman"/>
          <w:i/>
          <w:iCs/>
          <w:sz w:val="24"/>
          <w:szCs w:val="24"/>
        </w:rPr>
        <w:t xml:space="preserve">Căn cứ Luật Doanh nghiệp số 59/2020/QH14 ngày 17/6/2020, đã được sửa đổi, bổ sung, và các văn bản hướng dẫn thi hành;</w:t>
      </w:r>
    </w:p>
    <w:p>
      <w:pPr>
        <w:spacing w:after="60" w:before="0" w:line="300"/>
        <w:jc w:val="both"/>
      </w:pPr>
      <w:r>
        <w:rPr>
          <w:rFonts w:ascii="Times New Roman" w:cs="Times New Roman" w:eastAsia="Times New Roman" w:hAnsi="Times New Roman"/>
          <w:i/>
          <w:iCs/>
          <w:sz w:val="24"/>
          <w:szCs w:val="24"/>
        </w:rPr>
        <w:t xml:space="preserve">Căn cứ Luật Kế toán số 88/2015/QH13 ngày 20/11/2015, đã được sửa đổi, bổ sung bởi Luật số 56/2024/QH15; Nghị định số 174/2016/NĐ-CP ngày 30/12/2016 của Chính phủ, đã được sửa đổi, bổ sung;</w:t>
      </w:r>
    </w:p>
    <w:p>
      <w:pPr>
        <w:spacing w:after="60" w:before="0" w:line="300"/>
        <w:jc w:val="both"/>
      </w:pPr>
      <w:r>
        <w:rPr>
          <w:rFonts w:ascii="Times New Roman" w:cs="Times New Roman" w:eastAsia="Times New Roman" w:hAnsi="Times New Roman"/>
          <w:i/>
          <w:iCs/>
          <w:sz w:val="24"/>
          <w:szCs w:val="24"/>
        </w:rPr>
        <w:t xml:space="preserve">Căn cứ Thông tư số 99/2025/TT-BTC ngày 27/10/2025 của Bộ Tài chính hướng dẫn Chế độ kế toán doanh nghiệp;</w:t>
      </w:r>
    </w:p>
    <w:p>
      <w:pPr>
        <w:spacing w:after="60" w:before="0" w:line="300"/>
        <w:jc w:val="both"/>
      </w:pPr>
      <w:r>
        <w:rPr>
          <w:rFonts w:ascii="Times New Roman" w:cs="Times New Roman" w:eastAsia="Times New Roman" w:hAnsi="Times New Roman"/>
          <w:i/>
          <w:iCs/>
          <w:sz w:val="24"/>
          <w:szCs w:val="24"/>
        </w:rPr>
        <w:t xml:space="preserve">Căn cứ Luật Thuế thu nhập doanh nghiệp số 67/2025/QH15 ngày 14/6/2025, đã được sửa đổi, bổ sung; Nghị định số 320/2025/NĐ-CP ngày 15/12/2025 của Chính phủ và các văn bản hướng dẫn;</w:t>
      </w:r>
    </w:p>
    <w:p>
      <w:pPr>
        <w:spacing w:after="60" w:before="0" w:line="300"/>
        <w:jc w:val="both"/>
      </w:pPr>
      <w:r>
        <w:rPr>
          <w:rFonts w:ascii="Times New Roman" w:cs="Times New Roman" w:eastAsia="Times New Roman" w:hAnsi="Times New Roman"/>
          <w:i/>
          <w:iCs/>
          <w:sz w:val="24"/>
          <w:szCs w:val="24"/>
        </w:rPr>
        <w:t xml:space="preserve">Căn cứ Thông tư số 48/2019/TT-BTC ngày 08/8/2019 của Bộ Tài chính hướng dẫn việc trích lập và xử lý các khoản dự phòng, đã được sửa đổi, bổ sung, tiếp tục có hiệu lực theo Quyết định số 1760/QĐ-BTC ngày 01/7/2026 của Bộ Tài chính;</w:t>
      </w:r>
    </w:p>
    <w:p>
      <w:pPr>
        <w:spacing w:after="60" w:before="0" w:line="300"/>
        <w:jc w:val="both"/>
      </w:pPr>
      <w:r>
        <w:rPr>
          <w:rFonts w:ascii="Times New Roman" w:cs="Times New Roman" w:eastAsia="Times New Roman" w:hAnsi="Times New Roman"/>
          <w:i/>
          <w:iCs/>
          <w:sz w:val="24"/>
          <w:szCs w:val="24"/>
        </w:rPr>
        <w:t xml:space="preserve">Căn cứ Nghị định số 254/2026/NĐ-CP ngày 30/6/2026 của Chính phủ quy định về hóa đơn, chứng từ và Thông tư số 91/2026/TT-BTC của Bộ Tài chính hướng dẫn thi hành;</w:t>
      </w:r>
    </w:p>
    <w:p>
      <w:pPr>
        <w:spacing w:after="60" w:before="0" w:line="300"/>
        <w:jc w:val="both"/>
      </w:pPr>
      <w:r>
        <w:rPr>
          <w:rFonts w:ascii="Times New Roman" w:cs="Times New Roman" w:eastAsia="Times New Roman" w:hAnsi="Times New Roman"/>
          <w:i/>
          <w:iCs/>
          <w:sz w:val="24"/>
          <w:szCs w:val="24"/>
        </w:rPr>
        <w:t xml:space="preserve">Căn cứ Điều lệ tổ chức và hoạt động, Quy chế tài chính của [TÊN DOANH NGHIỆP];</w:t>
      </w:r>
    </w:p>
    <w:p>
      <w:pPr>
        <w:spacing w:after="160" w:before="0" w:line="300"/>
        <w:jc w:val="both"/>
      </w:pPr>
      <w:r>
        <w:rPr>
          <w:rFonts w:ascii="Times New Roman" w:cs="Times New Roman" w:eastAsia="Times New Roman" w:hAnsi="Times New Roman"/>
          <w:i/>
          <w:iCs/>
          <w:sz w:val="26"/>
          <w:szCs w:val="26"/>
        </w:rPr>
        <w:t xml:space="preserve">Xét đề nghị của Kế toán trưởng/Phụ trách kế toán,</w:t>
      </w:r>
    </w:p>
    <w:p>
      <w:pPr>
        <w:spacing w:after="120" w:before="0" w:line="300"/>
        <w:jc w:val="center"/>
      </w:pPr>
      <w:r>
        <w:rPr>
          <w:rFonts w:ascii="Times New Roman" w:cs="Times New Roman" w:eastAsia="Times New Roman" w:hAnsi="Times New Roman"/>
          <w:b/>
          <w:bCs/>
          <w:sz w:val="26"/>
          <w:szCs w:val="26"/>
        </w:rPr>
        <w:t xml:space="preserve">QUYẾT ĐỊNH:</w:t>
      </w:r>
    </w:p>
    <w:p>
      <w:pPr>
        <w:spacing w:after="100" w:before="0" w:line="300"/>
        <w:jc w:val="both"/>
      </w:pPr>
      <w:r>
        <w:rPr>
          <w:rFonts w:ascii="Times New Roman" w:cs="Times New Roman" w:eastAsia="Times New Roman" w:hAnsi="Times New Roman"/>
          <w:b/>
          <w:bCs/>
          <w:sz w:val="26"/>
          <w:szCs w:val="26"/>
        </w:rPr>
        <w:t xml:space="preserve">Điều 1.</w:t>
      </w:r>
      <w:r>
        <w:rPr>
          <w:rFonts w:ascii="Times New Roman" w:cs="Times New Roman" w:eastAsia="Times New Roman" w:hAnsi="Times New Roman"/>
          <w:sz w:val="26"/>
          <w:szCs w:val="26"/>
        </w:rPr>
        <w:t xml:space="preserve"> Ban hành kèm theo Quyết định này Quy chế quản lý hàng tồn kho của [TÊN DOANH NGHIỆP], gồm 06 chương, 17 điều và 05 phụ lục.</w:t>
      </w:r>
    </w:p>
    <w:p>
      <w:pPr>
        <w:spacing w:after="100" w:before="0" w:line="300"/>
        <w:jc w:val="both"/>
      </w:pPr>
      <w:r>
        <w:rPr>
          <w:rFonts w:ascii="Times New Roman" w:cs="Times New Roman" w:eastAsia="Times New Roman" w:hAnsi="Times New Roman"/>
          <w:b/>
          <w:bCs/>
          <w:sz w:val="26"/>
          <w:szCs w:val="26"/>
        </w:rPr>
        <w:t xml:space="preserve">Điều 2.</w:t>
      </w:r>
      <w:r>
        <w:rPr>
          <w:rFonts w:ascii="Times New Roman" w:cs="Times New Roman" w:eastAsia="Times New Roman" w:hAnsi="Times New Roman"/>
          <w:sz w:val="26"/>
          <w:szCs w:val="26"/>
        </w:rPr>
        <w:t xml:space="preserve"> Quy chế áp dụng đối với nguyên vật liệu, công cụ dụng cụ trong kho, sản phẩm dở dang, thành phẩm, hàng hóa của Công ty tại các kho, cửa hàng, địa điểm kinh doanh.</w:t>
      </w:r>
    </w:p>
    <w:p>
      <w:pPr>
        <w:spacing w:after="100" w:before="0" w:line="300"/>
        <w:jc w:val="both"/>
      </w:pPr>
      <w:r>
        <w:rPr>
          <w:rFonts w:ascii="Times New Roman" w:cs="Times New Roman" w:eastAsia="Times New Roman" w:hAnsi="Times New Roman"/>
          <w:b/>
          <w:bCs/>
          <w:sz w:val="26"/>
          <w:szCs w:val="26"/>
        </w:rPr>
        <w:t xml:space="preserve">Điều 3.</w:t>
      </w:r>
      <w:r>
        <w:rPr>
          <w:rFonts w:ascii="Times New Roman" w:cs="Times New Roman" w:eastAsia="Times New Roman" w:hAnsi="Times New Roman"/>
          <w:sz w:val="26"/>
          <w:szCs w:val="26"/>
        </w:rPr>
        <w:t xml:space="preserve"> Kế toán trưởng, Trưởng các bộ phận và toàn thể người lao động chịu trách nhiệm thi hành Quyết định này.</w:t>
      </w:r>
    </w:p>
    <w:p>
      <w:pPr>
        <w:keepNext/>
        <w:spacing w:after="100" w:before="0" w:line="300"/>
        <w:jc w:val="both"/>
      </w:pPr>
      <w:r>
        <w:rPr>
          <w:rFonts w:ascii="Times New Roman" w:cs="Times New Roman" w:eastAsia="Times New Roman" w:hAnsi="Times New Roman"/>
          <w:b/>
          <w:bCs/>
          <w:sz w:val="26"/>
          <w:szCs w:val="26"/>
        </w:rPr>
        <w:t xml:space="preserve">Điều 4.</w:t>
      </w:r>
      <w:r>
        <w:rPr>
          <w:rFonts w:ascii="Times New Roman" w:cs="Times New Roman" w:eastAsia="Times New Roman" w:hAnsi="Times New Roman"/>
          <w:sz w:val="26"/>
          <w:szCs w:val="26"/>
        </w:rPr>
        <w:t xml:space="preserve"> Quyết định có hiệu lực từ ngày [NGÀY HIỆU LỰC]. Các quy định trước đây của Công ty trái với văn bản ban hành kèm theo Quyết định này hết hiệu lực kể từ ngày Quyết định có hiệu lực.</w:t>
      </w:r>
    </w:p>
    <w:p>
      <w:pPr>
        <w:keepNext/>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Nơi nhận:</w:t>
            </w:r>
          </w:p>
          <w:p>
            <w:pPr>
              <w:keepNext w:val="false"/>
              <w:spacing w:after="20"/>
              <w:jc w:val="left"/>
            </w:pPr>
            <w:r>
              <w:rPr>
                <w:rFonts w:ascii="Times New Roman" w:cs="Times New Roman" w:eastAsia="Times New Roman" w:hAnsi="Times New Roman"/>
                <w:b w:val="false"/>
                <w:bCs w:val="false"/>
                <w:sz w:val="23"/>
                <w:szCs w:val="23"/>
              </w:rPr>
              <w:t xml:space="preserve">- Như Điều 3;</w:t>
            </w:r>
          </w:p>
          <w:p>
            <w:pPr>
              <w:keepNext w:val="false"/>
              <w:spacing w:after="20"/>
              <w:jc w:val="left"/>
            </w:pPr>
            <w:r>
              <w:rPr>
                <w:rFonts w:ascii="Times New Roman" w:cs="Times New Roman" w:eastAsia="Times New Roman" w:hAnsi="Times New Roman"/>
                <w:b w:val="false"/>
                <w:bCs w:val="false"/>
                <w:sz w:val="23"/>
                <w:szCs w:val="23"/>
              </w:rPr>
              <w:t xml:space="preserve">- Lưu: VT, KT.</w:t>
            </w:r>
          </w:p>
        </w:tc>
        <w:tc>
          <w:tcPr>
            <w:tcW w:type="dxa" w:w="4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[CHỨC DANH]</w:t>
            </w:r>
          </w:p>
          <w:p>
            <w:pPr>
              <w:keepNext w:val="false"/>
              <w:spacing w:after="20"/>
              <w:jc w:val="left"/>
            </w:pPr>
            <w:r>
              <w:rPr>
                <w:rFonts w:ascii="Times New Roman" w:cs="Times New Roman" w:eastAsia="Times New Roman" w:hAnsi="Times New Roman"/>
                <w:b w:val="false"/>
                <w:bCs w:val="false"/>
                <w:sz w:val="23"/>
                <w:szCs w:val="23"/>
              </w:rPr>
              <w:t xml:space="preserve">(Ký, ghi rõ họ tên, đóng dấu)</w:t>
            </w:r>
          </w:p>
          <w:p>
            <w:pPr>
              <w:keepNext w:val="false"/>
              <w:spacing w:after="20"/>
              <w:jc w:val="left"/>
            </w:pPr>
          </w:p>
          <w:p>
            <w:pPr>
              <w:keepNext w:val="false"/>
              <w:spacing w:after="20"/>
              <w:jc w:val="left"/>
            </w:pPr>
          </w:p>
          <w:p>
            <w:pPr>
              <w:keepNext w:val="false"/>
              <w:spacing w:after="20"/>
              <w:jc w:val="left"/>
            </w:pPr>
            <w:r>
              <w:rPr>
                <w:rFonts w:ascii="Times New Roman" w:cs="Times New Roman" w:eastAsia="Times New Roman" w:hAnsi="Times New Roman"/>
                <w:b w:val="false"/>
                <w:bCs w:val="false"/>
                <w:sz w:val="23"/>
                <w:szCs w:val="23"/>
              </w:rPr>
              <w:t xml:space="preserve">[HỌ VÀ TÊN]</w:t>
            </w:r>
          </w:p>
        </w:tc>
      </w:tr>
    </w:tbl>
    <w:p>
      <w:pPr>
        <w:pageBreakBefore/>
        <w:spacing w:after="0" w:line="120"/>
      </w:pPr>
    </w:p>
    <w:p>
      <w:pPr>
        <w:spacing w:after="20" w:before="0" w:line="300"/>
        <w:jc w:val="center"/>
      </w:pPr>
      <w:r>
        <w:rPr>
          <w:rFonts w:ascii="Times New Roman" w:cs="Times New Roman" w:eastAsia="Times New Roman" w:hAnsi="Times New Roman"/>
          <w:b/>
          <w:bCs/>
          <w:sz w:val="26"/>
          <w:szCs w:val="26"/>
        </w:rPr>
        <w:t xml:space="preserve">[TÊN DOANH NGHIỆP]</w:t>
      </w:r>
    </w:p>
    <w:p>
      <w:pPr>
        <w:spacing w:after="160" w:before="0" w:line="300"/>
        <w:jc w:val="center"/>
      </w:pPr>
      <w:r>
        <w:rPr>
          <w:rFonts w:ascii="Times New Roman" w:cs="Times New Roman" w:eastAsia="Times New Roman" w:hAnsi="Times New Roman"/>
          <w:i/>
          <w:iCs/>
          <w:sz w:val="24"/>
          <w:szCs w:val="24"/>
        </w:rPr>
        <w:t xml:space="preserve">(Ban hành kèm theo Quyết định số [SỐ]/2026/QĐ-[MÃ DN] ngày [NGÀY])</w:t>
      </w:r>
    </w:p>
    <w:p>
      <w:pPr>
        <w:spacing w:after="200" w:before="0" w:line="300"/>
        <w:jc w:val="center"/>
      </w:pPr>
      <w:r>
        <w:rPr>
          <w:rFonts w:ascii="Times New Roman" w:cs="Times New Roman" w:eastAsia="Times New Roman" w:hAnsi="Times New Roman"/>
          <w:b/>
          <w:bCs/>
          <w:color w:val="17365D"/>
          <w:sz w:val="30"/>
          <w:szCs w:val="30"/>
        </w:rPr>
        <w:t xml:space="preserve">QUY CHẾ QUẢN LÝ HÀNG TỒN KHO</w:t>
      </w:r>
    </w:p>
    <w:p>
      <w:pPr>
        <w:keepNext/>
        <w:spacing w:after="160" w:before="280"/>
        <w:jc w:val="center"/>
      </w:pPr>
      <w:r>
        <w:rPr>
          <w:rFonts w:ascii="Times New Roman" w:cs="Times New Roman" w:eastAsia="Times New Roman" w:hAnsi="Times New Roman"/>
          <w:b/>
          <w:bCs/>
          <w:color w:val="17365D"/>
          <w:sz w:val="27"/>
          <w:szCs w:val="27"/>
        </w:rPr>
        <w:t xml:space="preserve">CHƯƠNG I. QUY ĐỊNH CHUNG</w:t>
      </w:r>
    </w:p>
    <w:p>
      <w:pPr>
        <w:keepNext/>
        <w:spacing w:after="80" w:before="160"/>
      </w:pPr>
      <w:r>
        <w:rPr>
          <w:rFonts w:ascii="Times New Roman" w:cs="Times New Roman" w:eastAsia="Times New Roman" w:hAnsi="Times New Roman"/>
          <w:b/>
          <w:bCs/>
          <w:sz w:val="26"/>
          <w:szCs w:val="26"/>
        </w:rPr>
        <w:t xml:space="preserve">Điều 1. Phạm vi và đối tượng</w:t>
      </w:r>
    </w:p>
    <w:p>
      <w:pPr>
        <w:spacing w:after="100" w:before="0" w:line="300"/>
        <w:jc w:val="both"/>
      </w:pPr>
      <w:r>
        <w:rPr>
          <w:rFonts w:ascii="Times New Roman" w:cs="Times New Roman" w:eastAsia="Times New Roman" w:hAnsi="Times New Roman"/>
          <w:sz w:val="26"/>
          <w:szCs w:val="26"/>
        </w:rPr>
        <w:t xml:space="preserve">Quy chế quy định việc nhập, xuất, bảo quản, kiểm kê, xử lý hao hụt, hư hỏng và trích lập dự phòng hàng tồn kho; áp dụng cho bộ phận Kho, Mua hàng, Sản xuất, Kinh doanh và Kế toán.</w:t>
      </w:r>
    </w:p>
    <w:p>
      <w:pPr>
        <w:keepNext/>
        <w:spacing w:after="80" w:before="160"/>
      </w:pPr>
      <w:r>
        <w:rPr>
          <w:rFonts w:ascii="Times New Roman" w:cs="Times New Roman" w:eastAsia="Times New Roman" w:hAnsi="Times New Roman"/>
          <w:b/>
          <w:bCs/>
          <w:sz w:val="26"/>
          <w:szCs w:val="26"/>
        </w:rPr>
        <w:t xml:space="preserve">Điều 2. Nguyên tắc</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Mọi nghiệp vụ nhập, xuất có chứng từ được duyệt.</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Tách thủ kho, kế toán kho, người mua và người bán.</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Hàng tồn kho ghi nhận theo giá gốc; cuối năm giá trị thuần có thể thực hiện được thấp hơn giá gốc thì xem xét trích dự phòng.</w:t>
      </w:r>
    </w:p>
    <w:p>
      <w:pPr>
        <w:pStyle w:val="ListParagraph"/>
        <w:keepNext w:val="false"/>
        <w:numPr>
          <w:ilvl w:val="0"/>
          <w:numId w:val="3"/>
        </w:numPr>
        <w:spacing w:after="80" w:line="300"/>
        <w:jc w:val="both"/>
      </w:pPr>
      <w:r>
        <w:rPr>
          <w:rFonts w:ascii="Times New Roman" w:cs="Times New Roman" w:eastAsia="Times New Roman" w:hAnsi="Times New Roman"/>
          <w:sz w:val="26"/>
          <w:szCs w:val="26"/>
        </w:rPr>
        <w:t xml:space="preserve">Phương pháp tính giá xuất kho áp dụng nhất quán trong năm tài chính.</w:t>
      </w:r>
    </w:p>
    <w:p>
      <w:pPr>
        <w:keepNext/>
        <w:spacing w:after="80" w:before="160"/>
      </w:pPr>
      <w:r>
        <w:rPr>
          <w:rFonts w:ascii="Times New Roman" w:cs="Times New Roman" w:eastAsia="Times New Roman" w:hAnsi="Times New Roman"/>
          <w:b/>
          <w:bCs/>
          <w:sz w:val="26"/>
          <w:szCs w:val="26"/>
        </w:rPr>
        <w:t xml:space="preserve">Điều 3. Mã hàng và danh mục kho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lập danh mục mã hàng thống nhất; thủ kho không tự tạo mã.</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Mỗi kho có danh sách người được ra vào; khách, nhà cung cấp vào kho có người đi kèm.</w:t>
      </w:r>
    </w:p>
    <w:p>
      <w:pPr>
        <w:keepNext/>
        <w:spacing w:after="160" w:before="280"/>
        <w:jc w:val="center"/>
      </w:pPr>
      <w:r>
        <w:rPr>
          <w:rFonts w:ascii="Times New Roman" w:cs="Times New Roman" w:eastAsia="Times New Roman" w:hAnsi="Times New Roman"/>
          <w:b/>
          <w:bCs/>
          <w:color w:val="17365D"/>
          <w:sz w:val="27"/>
          <w:szCs w:val="27"/>
        </w:rPr>
        <w:t xml:space="preserve">CHƯƠNG II. NHẬP KHO</w:t>
      </w:r>
    </w:p>
    <w:p>
      <w:pPr>
        <w:keepNext/>
        <w:spacing w:after="80" w:before="160"/>
      </w:pPr>
      <w:r>
        <w:rPr>
          <w:rFonts w:ascii="Times New Roman" w:cs="Times New Roman" w:eastAsia="Times New Roman" w:hAnsi="Times New Roman"/>
          <w:b/>
          <w:bCs/>
          <w:sz w:val="26"/>
          <w:szCs w:val="26"/>
        </w:rPr>
        <w:t xml:space="preserve">Điều 4. Nhập hàng mua</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Thủ kho kiểm đếm theo đơn hàng, lập Phiếu nhập kho có chữ ký người giao.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chưa có hóa đơn: nhập kho theo giá tạm tính, điều chỉnh khi nhận hóa đơn.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sai, thiếu, hỏng: lập biên bản, không nhập phần không đạt.</w:t>
      </w:r>
    </w:p>
    <w:p>
      <w:pPr>
        <w:keepNext/>
        <w:spacing w:after="80" w:before="160"/>
      </w:pPr>
      <w:r>
        <w:rPr>
          <w:rFonts w:ascii="Times New Roman" w:cs="Times New Roman" w:eastAsia="Times New Roman" w:hAnsi="Times New Roman"/>
          <w:b/>
          <w:bCs/>
          <w:sz w:val="26"/>
          <w:szCs w:val="26"/>
        </w:rPr>
        <w:t xml:space="preserve">Điều 5. Nhập thành phẩm, hàng trả lại</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Thành phẩm nhập kho theo phiếu nhập có xác nhận của bộ phận sản xuất và kiểm tra chất lượng.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bán bị trả lại: có văn bản của khách hàng, hóa đơn điều chỉnh hoặc chứng từ theo quy định về hóa đơn.</w:t>
      </w:r>
    </w:p>
    <w:p>
      <w:pPr>
        <w:keepNext/>
        <w:spacing w:after="160" w:before="280"/>
        <w:jc w:val="center"/>
      </w:pPr>
      <w:r>
        <w:rPr>
          <w:rFonts w:ascii="Times New Roman" w:cs="Times New Roman" w:eastAsia="Times New Roman" w:hAnsi="Times New Roman"/>
          <w:b/>
          <w:bCs/>
          <w:color w:val="17365D"/>
          <w:sz w:val="27"/>
          <w:szCs w:val="27"/>
        </w:rPr>
        <w:t xml:space="preserve">CHƯƠNG III. XUẤT KHO</w:t>
      </w:r>
    </w:p>
    <w:p>
      <w:pPr>
        <w:keepNext/>
        <w:spacing w:after="80" w:before="160"/>
      </w:pPr>
      <w:r>
        <w:rPr>
          <w:rFonts w:ascii="Times New Roman" w:cs="Times New Roman" w:eastAsia="Times New Roman" w:hAnsi="Times New Roman"/>
          <w:b/>
          <w:bCs/>
          <w:sz w:val="26"/>
          <w:szCs w:val="26"/>
        </w:rPr>
        <w:t xml:space="preserve">Điều 6. Xuất bán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Xuất theo đơn hàng bán đã duyệt; lập phiếu xuất kho kiêm vận chuyển hoặc phiếu xuất kho kèm hóa đơn.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Hàng gửi bán, gửi đại lý theo dõi riêng đến khi xác định đã bán.</w:t>
      </w:r>
    </w:p>
    <w:p>
      <w:pPr>
        <w:keepNext/>
        <w:spacing w:after="80" w:before="160"/>
      </w:pPr>
      <w:r>
        <w:rPr>
          <w:rFonts w:ascii="Times New Roman" w:cs="Times New Roman" w:eastAsia="Times New Roman" w:hAnsi="Times New Roman"/>
          <w:b/>
          <w:bCs/>
          <w:sz w:val="26"/>
          <w:szCs w:val="26"/>
        </w:rPr>
        <w:t xml:space="preserve">Điều 7. Xuất cho sản xuất, sử dụng nội bộ</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Xuất nguyên vật liệu theo định mức tiêu hao và lệnh sản xuất; vượt định mức phải có giải trình được duyệt.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Vật tư thừa cuối ca, cuối lệnh sản xuất nhập lại kho.</w:t>
      </w:r>
    </w:p>
    <w:p>
      <w:pPr>
        <w:keepNext/>
        <w:spacing w:after="80" w:before="160"/>
      </w:pPr>
      <w:r>
        <w:rPr>
          <w:rFonts w:ascii="Times New Roman" w:cs="Times New Roman" w:eastAsia="Times New Roman" w:hAnsi="Times New Roman"/>
          <w:b/>
          <w:bCs/>
          <w:sz w:val="26"/>
          <w:szCs w:val="26"/>
        </w:rPr>
        <w:t xml:space="preserve">Điều 8. Xuất khuyến mại, biếu tặng, cho mượn, tiêu dùng nội bộ</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Có quyết định hoặc chương trình được duyệt.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Lập hóa đơn hoặc chứng từ theo quy định về hóa đơn, thuế GTGT cho từng trường hợp.</w:t>
      </w:r>
    </w:p>
    <w:p>
      <w:pPr>
        <w:keepNext/>
        <w:spacing w:after="160" w:before="280"/>
        <w:jc w:val="center"/>
      </w:pPr>
      <w:r>
        <w:rPr>
          <w:rFonts w:ascii="Times New Roman" w:cs="Times New Roman" w:eastAsia="Times New Roman" w:hAnsi="Times New Roman"/>
          <w:b/>
          <w:bCs/>
          <w:color w:val="17365D"/>
          <w:sz w:val="27"/>
          <w:szCs w:val="27"/>
        </w:rPr>
        <w:t xml:space="preserve">CHƯƠNG IV. BẢO QUẢN VÀ KIỂM KÊ</w:t>
      </w:r>
    </w:p>
    <w:p>
      <w:pPr>
        <w:keepNext/>
        <w:spacing w:after="80" w:before="160"/>
      </w:pPr>
      <w:r>
        <w:rPr>
          <w:rFonts w:ascii="Times New Roman" w:cs="Times New Roman" w:eastAsia="Times New Roman" w:hAnsi="Times New Roman"/>
          <w:b/>
          <w:bCs/>
          <w:sz w:val="26"/>
          <w:szCs w:val="26"/>
        </w:rPr>
        <w:t xml:space="preserve">Điều 9. Bảo quản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Sắp xếp theo khu vực, mã hàng; hàng có hạn dùng áp dụng nguyên tắc hết hạn trước – xuất trước.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Bảo đảm điều kiện nhiệt độ, độ ẩm, phòng cháy theo đặc tính hàng.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Thủ kho cập nhật thẻ kho hằng ngày.</w:t>
      </w:r>
    </w:p>
    <w:p>
      <w:pPr>
        <w:keepNext/>
        <w:spacing w:after="80" w:before="160"/>
      </w:pPr>
      <w:r>
        <w:rPr>
          <w:rFonts w:ascii="Times New Roman" w:cs="Times New Roman" w:eastAsia="Times New Roman" w:hAnsi="Times New Roman"/>
          <w:b/>
          <w:bCs/>
          <w:sz w:val="26"/>
          <w:szCs w:val="26"/>
        </w:rPr>
        <w:t xml:space="preserve">Điều 10. Kiểm kê định kỳ và đột xuất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Kiểm kê theo lịch tại Hướng dẫn sử dụng; kiểm kê đột xuất khi thay thủ kho, xảy ra sự cố, theo yêu cầu của Giám đốc.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Hội đồng kiểm kê có Kế toán, Kho, đại diện độc lập; khóa nhập xuất trong thời gian kiểm kê.</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Kết quả ghi vào Biên bản kiểm kê (Mẫu 01).</w:t>
      </w:r>
    </w:p>
    <w:p>
      <w:pPr>
        <w:keepNext/>
        <w:spacing w:after="80" w:before="160"/>
      </w:pPr>
      <w:r>
        <w:rPr>
          <w:rFonts w:ascii="Times New Roman" w:cs="Times New Roman" w:eastAsia="Times New Roman" w:hAnsi="Times New Roman"/>
          <w:b/>
          <w:bCs/>
          <w:sz w:val="26"/>
          <w:szCs w:val="26"/>
        </w:rPr>
        <w:t xml:space="preserve">Điều 11. Xử lý chênh lệch</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đối chiếu, lập bảng chênh lệch trong [05] ngày làm việc.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Chênh lệch trong định mức hao hụt: hạch toán vào giá vốn/chi phí theo định mức.</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Ngoài định mức: xác định nguyên nhân, người chịu trách nhiệm; phần bồi thường theo dõi phải thu; phần còn lại xử lý theo quyết định của Giám đốc.</w:t>
      </w:r>
    </w:p>
    <w:p>
      <w:pPr>
        <w:keepNext/>
        <w:spacing w:after="160" w:before="280"/>
        <w:jc w:val="center"/>
      </w:pPr>
      <w:r>
        <w:rPr>
          <w:rFonts w:ascii="Times New Roman" w:cs="Times New Roman" w:eastAsia="Times New Roman" w:hAnsi="Times New Roman"/>
          <w:b/>
          <w:bCs/>
          <w:color w:val="17365D"/>
          <w:sz w:val="27"/>
          <w:szCs w:val="27"/>
        </w:rPr>
        <w:t xml:space="preserve">CHƯƠNG V. HÀNG HƯ HỎNG, HẾT HẠN VÀ DỰ PHÒNG</w:t>
      </w:r>
    </w:p>
    <w:p>
      <w:pPr>
        <w:keepNext/>
        <w:spacing w:after="80" w:before="160"/>
      </w:pPr>
      <w:r>
        <w:rPr>
          <w:rFonts w:ascii="Times New Roman" w:cs="Times New Roman" w:eastAsia="Times New Roman" w:hAnsi="Times New Roman"/>
          <w:b/>
          <w:bCs/>
          <w:sz w:val="26"/>
          <w:szCs w:val="26"/>
        </w:rPr>
        <w:t xml:space="preserve">Điều 12. Hàng chậm luân chuyển, kém phẩm chất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Kế toán lập Báo cáo hàng chậm luân chuyển hằng quý; bộ phận Kinh doanh đề xuất phương án: giảm giá, bán thanh lý, tái chế, tiêu hủy.</w:t>
      </w:r>
    </w:p>
    <w:p>
      <w:pPr>
        <w:keepNext/>
        <w:spacing w:after="80" w:before="160"/>
      </w:pPr>
      <w:r>
        <w:rPr>
          <w:rFonts w:ascii="Times New Roman" w:cs="Times New Roman" w:eastAsia="Times New Roman" w:hAnsi="Times New Roman"/>
          <w:b/>
          <w:bCs/>
          <w:sz w:val="26"/>
          <w:szCs w:val="26"/>
        </w:rPr>
        <w:t xml:space="preserve">Điều 13. Tiêu hủy hàng tồn kho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Giám đốc quyết định thành lập Hội đồng xử lý.</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Hồ sơ: đề nghị, biên bản kiểm tra hiện trạng, quyết định tiêu hủy, Biên bản tiêu hủy (Mẫu 03) có hình ảnh/video, hợp đồng và chứng từ của đơn vị xử lý (nếu thuê).</w:t>
      </w:r>
    </w:p>
    <w:p>
      <w:pPr>
        <w:keepNext/>
        <w:spacing w:after="80" w:before="160"/>
      </w:pPr>
      <w:r>
        <w:rPr>
          <w:rFonts w:ascii="Times New Roman" w:cs="Times New Roman" w:eastAsia="Times New Roman" w:hAnsi="Times New Roman"/>
          <w:b/>
          <w:bCs/>
          <w:sz w:val="26"/>
          <w:szCs w:val="26"/>
        </w:rPr>
        <w:t xml:space="preserve">Điều 14. Dự phòng giảm giá hàng tồn kho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Cuối kỳ kế toán năm, so sánh giá gốc với giá trị thuần có thể thực hiện được theo từng mặt hàng.</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Trích lập theo hướng dẫn hiện hành về dự phòng; hồ sơ gồm bảng tính, căn cứ giá bán ước tính, chi phí để bán.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Hoàn nhập khi giá trị thuần có thể thực hiện được tăng hoặc hàng đã bán.</w:t>
      </w:r>
    </w:p>
    <w:p>
      <w:pPr>
        <w:keepNext/>
        <w:spacing w:after="160" w:before="280"/>
        <w:jc w:val="center"/>
      </w:pPr>
      <w:r>
        <w:rPr>
          <w:rFonts w:ascii="Times New Roman" w:cs="Times New Roman" w:eastAsia="Times New Roman" w:hAnsi="Times New Roman"/>
          <w:b/>
          <w:bCs/>
          <w:color w:val="17365D"/>
          <w:sz w:val="27"/>
          <w:szCs w:val="27"/>
        </w:rPr>
        <w:t xml:space="preserve">CHƯƠNG VI. TỔ CHỨC THỰC HIỆN</w:t>
      </w:r>
    </w:p>
    <w:p>
      <w:pPr>
        <w:keepNext/>
        <w:spacing w:after="80" w:before="160"/>
      </w:pPr>
      <w:r>
        <w:rPr>
          <w:rFonts w:ascii="Times New Roman" w:cs="Times New Roman" w:eastAsia="Times New Roman" w:hAnsi="Times New Roman"/>
          <w:b/>
          <w:bCs/>
          <w:sz w:val="26"/>
          <w:szCs w:val="26"/>
        </w:rPr>
        <w:t xml:space="preserve">Điều 15. Báo cáo</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Hằng tháng: Báo cáo nhập – xuất – tồn theo mã hàng; đối chiếu thủ kho – kế toán.</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Hằng quý: hàng chậm luân chuyển, chênh lệch kiểm kê.</w:t>
      </w:r>
    </w:p>
    <w:p>
      <w:pPr>
        <w:keepNext/>
        <w:spacing w:after="80" w:before="160"/>
      </w:pPr>
      <w:r>
        <w:rPr>
          <w:rFonts w:ascii="Times New Roman" w:cs="Times New Roman" w:eastAsia="Times New Roman" w:hAnsi="Times New Roman"/>
          <w:b/>
          <w:bCs/>
          <w:sz w:val="26"/>
          <w:szCs w:val="26"/>
        </w:rPr>
        <w:t xml:space="preserve">Điều 16. Trách nhiệm vật chất</w:t>
      </w:r>
    </w:p>
    <w:p>
      <w:pPr>
        <w:pStyle w:val="ListParagraph"/>
        <w:keepNext w:val="false"/>
        <w:numPr>
          <w:ilvl w:val="0"/>
          <w:numId w:val="2"/>
        </w:numPr>
        <w:spacing w:after="80" w:line="300"/>
        <w:jc w:val="both"/>
      </w:pPr>
      <w:r>
        <w:rPr>
          <w:rFonts w:ascii="Times New Roman" w:cs="Times New Roman" w:eastAsia="Times New Roman" w:hAnsi="Times New Roman"/>
          <w:sz w:val="26"/>
          <w:szCs w:val="26"/>
        </w:rPr>
        <w:t xml:space="preserve">Thủ kho ký hợp đồng trách nhiệm; thiếu hụt ngoài định mức do lỗi xử lý bồi thường theo Bộ luật Lao động, Nội quy lao động.</w:t>
      </w:r>
    </w:p>
    <w:p>
      <w:pPr>
        <w:keepNext/>
        <w:spacing w:after="80" w:before="160"/>
      </w:pPr>
      <w:r>
        <w:rPr>
          <w:rFonts w:ascii="Times New Roman" w:cs="Times New Roman" w:eastAsia="Times New Roman" w:hAnsi="Times New Roman"/>
          <w:b/>
          <w:bCs/>
          <w:sz w:val="26"/>
          <w:szCs w:val="26"/>
        </w:rPr>
        <w:t xml:space="preserve">Điều 17. Hiệu lực</w:t>
      </w:r>
    </w:p>
    <w:p>
      <w:pPr>
        <w:pStyle w:val="ListParagraph"/>
        <w:keepNext/>
        <w:numPr>
          <w:ilvl w:val="0"/>
          <w:numId w:val="2"/>
        </w:numPr>
        <w:spacing w:after="80" w:line="300"/>
        <w:jc w:val="both"/>
      </w:pPr>
      <w:r>
        <w:rPr>
          <w:rFonts w:ascii="Times New Roman" w:cs="Times New Roman" w:eastAsia="Times New Roman" w:hAnsi="Times New Roman"/>
          <w:sz w:val="26"/>
          <w:szCs w:val="26"/>
        </w:rPr>
        <w:t xml:space="preserve">Quy chế có hiệu lực từ ngày ký Quyết định ban hành; định mức hao hụt rà soát hằng năm.</w:t>
      </w:r>
    </w:p>
    <w:p>
      <w:pPr>
        <w:keepNext/>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4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3"/>
                <w:szCs w:val="23"/>
              </w:rPr>
              <w:t xml:space="preserve">[CHỨC DANH]</w:t>
            </w:r>
          </w:p>
          <w:p>
            <w:pPr>
              <w:keepNext w:val="false"/>
              <w:spacing w:after="20"/>
              <w:jc w:val="left"/>
            </w:pPr>
            <w:r>
              <w:rPr>
                <w:rFonts w:ascii="Times New Roman" w:cs="Times New Roman" w:eastAsia="Times New Roman" w:hAnsi="Times New Roman"/>
                <w:b w:val="false"/>
                <w:bCs w:val="false"/>
                <w:sz w:val="23"/>
                <w:szCs w:val="23"/>
              </w:rPr>
              <w:t xml:space="preserve">(Ký, ghi rõ họ tên, đóng dấu)</w:t>
            </w:r>
          </w:p>
          <w:p>
            <w:pPr>
              <w:keepNext w:val="false"/>
              <w:spacing w:after="20"/>
              <w:jc w:val="left"/>
            </w:pPr>
          </w:p>
          <w:p>
            <w:pPr>
              <w:keepNext w:val="false"/>
              <w:spacing w:after="20"/>
              <w:jc w:val="left"/>
            </w:pPr>
          </w:p>
          <w:p>
            <w:pPr>
              <w:keepNext w:val="false"/>
              <w:spacing w:after="20"/>
              <w:jc w:val="left"/>
            </w:pPr>
            <w:r>
              <w:rPr>
                <w:rFonts w:ascii="Times New Roman" w:cs="Times New Roman" w:eastAsia="Times New Roman" w:hAnsi="Times New Roman"/>
                <w:b w:val="false"/>
                <w:bCs w:val="false"/>
                <w:sz w:val="23"/>
                <w:szCs w:val="23"/>
              </w:rPr>
              <w:t xml:space="preserve">[HỌ VÀ TÊN]</w:t>
            </w:r>
          </w:p>
        </w:tc>
      </w:tr>
    </w:tbl>
    <w:p>
      <w:pPr>
        <w:pageBreakBefore/>
        <w:spacing w:after="0" w:line="120"/>
      </w:pPr>
    </w:p>
    <w:p>
      <w:pPr>
        <w:spacing w:after="40" w:before="0" w:line="300"/>
        <w:jc w:val="center"/>
      </w:pPr>
      <w:r>
        <w:rPr>
          <w:rFonts w:ascii="Times New Roman" w:cs="Times New Roman" w:eastAsia="Times New Roman" w:hAnsi="Times New Roman"/>
          <w:b/>
          <w:bCs/>
          <w:color w:val="17365D"/>
          <w:sz w:val="28"/>
          <w:szCs w:val="28"/>
        </w:rPr>
        <w:t xml:space="preserve">PHỤ LỤC 01</w:t>
      </w:r>
    </w:p>
    <w:p>
      <w:pPr>
        <w:spacing w:after="160" w:before="0" w:line="300"/>
        <w:jc w:val="center"/>
      </w:pPr>
      <w:r>
        <w:rPr>
          <w:rFonts w:ascii="Times New Roman" w:cs="Times New Roman" w:eastAsia="Times New Roman" w:hAnsi="Times New Roman"/>
          <w:b/>
          <w:bCs/>
          <w:sz w:val="26"/>
          <w:szCs w:val="26"/>
        </w:rPr>
        <w:t xml:space="preserve">BẢNG ĐỊNH MỨC HAO HỤT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2771"/>
      </w:tblGrid>
      <w:tr>
        <w:trPr>
          <w:tblHeader/>
        </w:trPr>
        <w:tc>
          <w:tcPr>
            <w:tcW w:type="dxa" w:w="24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Nhóm hàng</w:t>
            </w:r>
          </w:p>
        </w:tc>
        <w:tc>
          <w:tcPr>
            <w:tcW w:type="dxa" w:w="1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Khâu</w:t>
            </w:r>
          </w:p>
        </w:tc>
        <w:tc>
          <w:tcPr>
            <w:tcW w:type="dxa" w:w="2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Định mức hao hụt</w:t>
            </w:r>
          </w:p>
        </w:tc>
        <w:tc>
          <w:tcPr>
            <w:tcW w:type="dxa" w:w="27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1"/>
                <w:szCs w:val="21"/>
              </w:rPr>
              <w:t xml:space="preserve">Căn cứ xây dựng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Hàng khô đóng gói</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Bảo quản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[0,1]%/năm</w:t>
            </w:r>
          </w:p>
        </w:tc>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Số liệu kiểm kê 3 năm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Hàng dễ bay hơi, chất lỏng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Bảo quản, vận chuyển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[0,3]%/lần vận chuyển</w:t>
            </w:r>
          </w:p>
        </w:tc>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Đặc tính kỹ thuật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Nông sản, thực phẩm tươi</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Bảo quản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[x]%/tháng</w:t>
            </w:r>
          </w:p>
        </w:tc>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Tiêu chuẩn ngành, số liệu thực tế</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Nguyên vật liệu cắt, gia công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Sản xuất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[x]% theo định mức kỹ thuật</w:t>
            </w:r>
          </w:p>
        </w:tc>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Định mức kỹ thuật được duyệt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1"/>
                <w:szCs w:val="21"/>
              </w:rPr>
              <w:t xml:space="preserve">[Bổ sung]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7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i/>
          <w:iCs/>
          <w:sz w:val="26"/>
          <w:szCs w:val="26"/>
        </w:rPr>
        <w:t xml:space="preserve">Định mức do bộ phận Kỹ thuật/Kho đề xuất, Kế toán thẩm định, Giám đốc ban hành bằng quyết định.</w:t>
      </w:r>
    </w:p>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02 – MẪU 01</w:t>
            </w:r>
          </w:p>
          <w:p>
            <w:pPr>
              <w:keepNext w:val="false"/>
              <w:spacing w:after="20"/>
              <w:jc w:val="left"/>
            </w:pPr>
            <w:r>
              <w:rPr>
                <w:rFonts w:ascii="Times New Roman" w:cs="Times New Roman" w:eastAsia="Times New Roman" w:hAnsi="Times New Roman"/>
                <w:b w:val="false"/>
                <w:bCs w:val="false"/>
                <w:sz w:val="22"/>
                <w:szCs w:val="22"/>
              </w:rPr>
              <w:t xml:space="preserve">(Ban hành kèm Quy chế quản lý hàng tồn kho)</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BIÊN BẢN KIỂM KÊ HÀNG TỒN KHO</w:t>
      </w:r>
    </w:p>
    <w:p>
      <w:pPr>
        <w:spacing w:after="100" w:before="0" w:line="300"/>
        <w:jc w:val="center"/>
      </w:pPr>
      <w:r>
        <w:rPr>
          <w:rFonts w:ascii="Times New Roman" w:cs="Times New Roman" w:eastAsia="Times New Roman" w:hAnsi="Times New Roman"/>
          <w:i/>
          <w:iCs/>
          <w:sz w:val="24"/>
          <w:szCs w:val="24"/>
        </w:rPr>
        <w:t xml:space="preserve">Kho: ............ Thời điểm: ...... giờ, ngày ......</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100"/>
        <w:gridCol w:w="2221"/>
        <w:gridCol w:w="700"/>
        <w:gridCol w:w="900"/>
        <w:gridCol w:w="900"/>
        <w:gridCol w:w="800"/>
        <w:gridCol w:w="800"/>
        <w:gridCol w:w="1200"/>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Mã hàng</w:t>
            </w:r>
          </w:p>
        </w:tc>
        <w:tc>
          <w:tcPr>
            <w:tcW w:type="dxa" w:w="222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Tên hàng</w:t>
            </w:r>
          </w:p>
        </w:tc>
        <w:tc>
          <w:tcPr>
            <w:tcW w:type="dxa" w:w="7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ĐVT</w:t>
            </w:r>
          </w:p>
        </w:tc>
        <w:tc>
          <w:tcPr>
            <w:tcW w:type="dxa" w:w="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 sổ</w:t>
            </w:r>
          </w:p>
        </w:tc>
        <w:tc>
          <w:tcPr>
            <w:tcW w:type="dxa" w:w="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 thực tế</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Thừa</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Thiếu</w:t>
            </w:r>
          </w:p>
        </w:tc>
        <w:tc>
          <w:tcPr>
            <w:tcW w:type="dxa" w:w="1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Phẩm chất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Thủ kho</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độc lập</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Trưởng ban kiểm kê</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03 – MẪU 02</w:t>
            </w:r>
          </w:p>
          <w:p>
            <w:pPr>
              <w:keepNext w:val="false"/>
              <w:spacing w:after="20"/>
              <w:jc w:val="left"/>
            </w:pPr>
            <w:r>
              <w:rPr>
                <w:rFonts w:ascii="Times New Roman" w:cs="Times New Roman" w:eastAsia="Times New Roman" w:hAnsi="Times New Roman"/>
                <w:b w:val="false"/>
                <w:bCs w:val="false"/>
                <w:sz w:val="22"/>
                <w:szCs w:val="22"/>
              </w:rPr>
              <w:t xml:space="preserve">(Ban hành kèm Quy chế quản lý hàng tồn kho)</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BÁO CÁO HÀNG CHẬM LUÂN CHUYỂN</w:t>
      </w:r>
    </w:p>
    <w:p>
      <w:pPr>
        <w:spacing w:after="100" w:before="0" w:line="300"/>
        <w:jc w:val="center"/>
      </w:pPr>
      <w:r>
        <w:rPr>
          <w:rFonts w:ascii="Times New Roman" w:cs="Times New Roman" w:eastAsia="Times New Roman" w:hAnsi="Times New Roman"/>
          <w:i/>
          <w:iCs/>
          <w:sz w:val="24"/>
          <w:szCs w:val="24"/>
        </w:rPr>
        <w:t xml:space="preserve">Quý ...... năm 2026</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100"/>
        <w:gridCol w:w="2421"/>
        <w:gridCol w:w="900"/>
        <w:gridCol w:w="1200"/>
        <w:gridCol w:w="1100"/>
        <w:gridCol w:w="900"/>
        <w:gridCol w:w="1000"/>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Mã hàng</w:t>
            </w:r>
          </w:p>
        </w:tc>
        <w:tc>
          <w:tcPr>
            <w:tcW w:type="dxa" w:w="242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Tên hàng</w:t>
            </w:r>
          </w:p>
        </w:tc>
        <w:tc>
          <w:tcPr>
            <w:tcW w:type="dxa" w:w="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 tồn</w:t>
            </w:r>
          </w:p>
        </w:tc>
        <w:tc>
          <w:tcPr>
            <w:tcW w:type="dxa" w:w="1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Giá trị</w:t>
            </w:r>
          </w:p>
        </w:tc>
        <w:tc>
          <w:tcPr>
            <w:tcW w:type="dxa" w:w="11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Ngày xuất cuối</w:t>
            </w:r>
          </w:p>
        </w:tc>
        <w:tc>
          <w:tcPr>
            <w:tcW w:type="dxa" w:w="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Hạn dùng</w:t>
            </w:r>
          </w:p>
        </w:tc>
        <w:tc>
          <w:tcPr>
            <w:tcW w:type="dxa" w:w="10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Đề xuất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 kho</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Trưởng bộ phận Kinh doanh</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 trưởng</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04 – MẪU 03</w:t>
            </w:r>
          </w:p>
          <w:p>
            <w:pPr>
              <w:keepNext w:val="false"/>
              <w:spacing w:after="20"/>
              <w:jc w:val="left"/>
            </w:pPr>
            <w:r>
              <w:rPr>
                <w:rFonts w:ascii="Times New Roman" w:cs="Times New Roman" w:eastAsia="Times New Roman" w:hAnsi="Times New Roman"/>
                <w:b w:val="false"/>
                <w:bCs w:val="false"/>
                <w:sz w:val="22"/>
                <w:szCs w:val="22"/>
              </w:rPr>
              <w:t xml:space="preserve">(Ban hành kèm Quy chế quản lý hàng tồn kho)</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BIÊN BẢN TIÊU HỦY HÀNG TỒN KHO</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Căn cứ Quyết định tiêu hủy số</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Thành phần Hội đồng</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Địa điểm, phương pháp tiêu hủy</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val="false"/>
                <w:bCs w:val="false"/>
                <w:sz w:val="24"/>
                <w:szCs w:val="24"/>
              </w:rPr>
              <w:t xml:space="preserve">Đơn vị xử lý (nếu thuê), hợp đồng số</w:t>
            </w:r>
          </w:p>
        </w:tc>
        <w:tc>
          <w:tcPr>
            <w:tcW w:type="dxa" w:w="58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571"/>
        <w:gridCol w:w="800"/>
        <w:gridCol w:w="800"/>
        <w:gridCol w:w="1600"/>
        <w:gridCol w:w="1600"/>
      </w:tblGrid>
      <w:tr>
        <w:trPr>
          <w:tblHeader/>
        </w:trPr>
        <w:tc>
          <w:tcPr>
            <w:tcW w:type="dxa" w:w="5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Mã hàng</w:t>
            </w:r>
          </w:p>
        </w:tc>
        <w:tc>
          <w:tcPr>
            <w:tcW w:type="dxa" w:w="257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Tên hàng</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ĐVT</w:t>
            </w:r>
          </w:p>
        </w:tc>
        <w:tc>
          <w:tcPr>
            <w:tcW w:type="dxa" w:w="8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w:t>
            </w:r>
          </w:p>
        </w:tc>
        <w:tc>
          <w:tcPr>
            <w:tcW w:type="dxa" w:w="1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Giá trị sổ sách</w:t>
            </w:r>
          </w:p>
        </w:tc>
        <w:tc>
          <w:tcPr>
            <w:tcW w:type="dxa" w:w="16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Lý do</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25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sz w:val="26"/>
          <w:szCs w:val="26"/>
        </w:rPr>
        <w:t xml:space="preserve">Hồ sơ kèm: ☐ Hình ảnh/video trước và sau tiêu hủy ☐ Biên bản kiểm tra hiện trạng ☐ Chứng từ của đơn vị xử lý</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Thủ kho</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Ban GĐ</w:t>
            </w:r>
          </w:p>
          <w:p>
            <w:pPr>
              <w:spacing w:after="900"/>
              <w:jc w:val="center"/>
            </w:pPr>
            <w:r>
              <w:rPr>
                <w:rFonts w:ascii="Times New Roman" w:cs="Times New Roman" w:eastAsia="Times New Roman" w:hAnsi="Times New Roman"/>
                <w:i/>
                <w:iCs/>
                <w:sz w:val="22"/>
                <w:szCs w:val="22"/>
              </w:rPr>
              <w:t xml:space="preserve">(Ký, ghi rõ họ tên)</w:t>
            </w:r>
          </w:p>
        </w:tc>
        <w:tc>
          <w:tcPr>
            <w:tcW w:type="dxa" w:w="226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Đơn vị xử lý</w:t>
            </w:r>
          </w:p>
          <w:p>
            <w:pPr>
              <w:spacing w:after="900"/>
              <w:jc w:val="center"/>
            </w:pPr>
            <w:r>
              <w:rPr>
                <w:rFonts w:ascii="Times New Roman" w:cs="Times New Roman" w:eastAsia="Times New Roman" w:hAnsi="Times New Roman"/>
                <w:i/>
                <w:iCs/>
                <w:sz w:val="22"/>
                <w:szCs w:val="22"/>
              </w:rPr>
              <w:t xml:space="preserve">(Ký, ghi rõ họ tên)</w:t>
            </w:r>
          </w:p>
        </w:tc>
      </w:tr>
    </w:tbl>
    <w:p>
      <w:pPr>
        <w:pageBreakBefore/>
        <w:spacing w:after="0" w:line="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4271"/>
      </w:tblGrid>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[TÊN DOANH NGHIỆP]</w:t>
            </w:r>
          </w:p>
          <w:p>
            <w:pPr>
              <w:keepNext w:val="false"/>
              <w:spacing w:after="20"/>
              <w:jc w:val="left"/>
            </w:pPr>
            <w:r>
              <w:rPr>
                <w:rFonts w:ascii="Times New Roman" w:cs="Times New Roman" w:eastAsia="Times New Roman" w:hAnsi="Times New Roman"/>
                <w:b w:val="false"/>
                <w:bCs w:val="false"/>
                <w:sz w:val="22"/>
                <w:szCs w:val="22"/>
              </w:rPr>
              <w:t xml:space="preserve">Bộ phận: [..........]</w:t>
            </w:r>
          </w:p>
        </w:tc>
        <w:tc>
          <w:tcPr>
            <w:tcW w:type="dxa" w:w="427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r>
              <w:rPr>
                <w:rFonts w:ascii="Times New Roman" w:cs="Times New Roman" w:eastAsia="Times New Roman" w:hAnsi="Times New Roman"/>
                <w:b/>
                <w:bCs/>
                <w:sz w:val="22"/>
                <w:szCs w:val="22"/>
              </w:rPr>
              <w:t xml:space="preserve">PHỤ LỤC 05 – MẪU 04</w:t>
            </w:r>
          </w:p>
          <w:p>
            <w:pPr>
              <w:keepNext w:val="false"/>
              <w:spacing w:after="20"/>
              <w:jc w:val="left"/>
            </w:pPr>
            <w:r>
              <w:rPr>
                <w:rFonts w:ascii="Times New Roman" w:cs="Times New Roman" w:eastAsia="Times New Roman" w:hAnsi="Times New Roman"/>
                <w:b w:val="false"/>
                <w:bCs w:val="false"/>
                <w:sz w:val="22"/>
                <w:szCs w:val="22"/>
              </w:rPr>
              <w:t xml:space="preserve">(Ban hành kèm Quy chế quản lý hàng tồn kho)</w:t>
            </w:r>
          </w:p>
        </w:tc>
      </w:tr>
    </w:tbl>
    <w:p>
      <w:pPr>
        <w:spacing w:after="60"/>
      </w:pPr>
    </w:p>
    <w:p>
      <w:pPr>
        <w:spacing w:after="40" w:before="0" w:line="300"/>
        <w:jc w:val="center"/>
      </w:pPr>
      <w:r>
        <w:rPr>
          <w:rFonts w:ascii="Times New Roman" w:cs="Times New Roman" w:eastAsia="Times New Roman" w:hAnsi="Times New Roman"/>
          <w:b/>
          <w:bCs/>
          <w:sz w:val="28"/>
          <w:szCs w:val="28"/>
        </w:rPr>
        <w:t xml:space="preserve">BẢNG TÍNH DỰ PHÒNG GIẢM GIÁ HÀNG TỒN KHO</w:t>
      </w:r>
    </w:p>
    <w:p>
      <w:pPr>
        <w:spacing w:after="100" w:before="0" w:line="300"/>
        <w:jc w:val="center"/>
      </w:pPr>
      <w:r>
        <w:rPr>
          <w:rFonts w:ascii="Times New Roman" w:cs="Times New Roman" w:eastAsia="Times New Roman" w:hAnsi="Times New Roman"/>
          <w:i/>
          <w:iCs/>
          <w:sz w:val="24"/>
          <w:szCs w:val="24"/>
        </w:rPr>
        <w:t xml:space="preserve">Tại ngày 31/12/2026</w:t>
      </w:r>
    </w:p>
    <w:p>
      <w:pPr>
        <w:spacing w:after="160" w:before="0" w:line="300"/>
        <w:jc w:val="center"/>
      </w:pPr>
      <w:r>
        <w:rPr>
          <w:rFonts w:ascii="Times New Roman" w:cs="Times New Roman" w:eastAsia="Times New Roman" w:hAnsi="Times New Roman"/>
          <w:i/>
          <w:iCs/>
          <w:sz w:val="24"/>
          <w:szCs w:val="24"/>
        </w:rPr>
        <w:t xml:space="preserve">Ngày ...... tháng ...... năm 2026     Số: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1300"/>
        <w:gridCol w:w="900"/>
        <w:gridCol w:w="1200"/>
        <w:gridCol w:w="1300"/>
        <w:gridCol w:w="1200"/>
        <w:gridCol w:w="1300"/>
        <w:gridCol w:w="1421"/>
      </w:tblGrid>
      <w:tr>
        <w:trPr>
          <w:tblHeader/>
        </w:trPr>
        <w:tc>
          <w:tcPr>
            <w:tcW w:type="dxa" w:w="45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STT</w:t>
            </w:r>
          </w:p>
        </w:tc>
        <w:tc>
          <w:tcPr>
            <w:tcW w:type="dxa" w:w="13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Mã hàng</w:t>
            </w:r>
          </w:p>
        </w:tc>
        <w:tc>
          <w:tcPr>
            <w:tcW w:type="dxa" w:w="9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SL tồn</w:t>
            </w:r>
          </w:p>
        </w:tc>
        <w:tc>
          <w:tcPr>
            <w:tcW w:type="dxa" w:w="1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Giá gốc</w:t>
            </w:r>
          </w:p>
        </w:tc>
        <w:tc>
          <w:tcPr>
            <w:tcW w:type="dxa" w:w="13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Giá bán ước tính</w:t>
            </w:r>
          </w:p>
        </w:tc>
        <w:tc>
          <w:tcPr>
            <w:tcW w:type="dxa" w:w="12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Chi phí để bán</w:t>
            </w:r>
          </w:p>
        </w:tc>
        <w:tc>
          <w:tcPr>
            <w:tcW w:type="dxa" w:w="1300"/>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Giá trị thuần</w:t>
            </w:r>
          </w:p>
        </w:tc>
        <w:tc>
          <w:tcPr>
            <w:tcW w:type="dxa" w:w="1421"/>
            <w:tcBorders>
              <w:top w:val="single" w:color="808080" w:sz="4"/>
              <w:left w:val="single" w:color="808080" w:sz="4"/>
              <w:bottom w:val="single" w:color="808080" w:sz="4"/>
              <w:right w:val="single" w:color="808080" w:sz="4"/>
            </w:tcBorders>
            <w:shd w:fill="17365D" w:color="auto" w:val="clear"/>
            <w:tcMar>
              <w:top w:type="dxa" w:w="60"/>
              <w:left w:type="dxa" w:w="90"/>
              <w:bottom w:type="dxa" w:w="60"/>
              <w:right w:type="dxa" w:w="90"/>
            </w:tcMar>
            <w:vAlign w:val="center"/>
          </w:tcPr>
          <w:p>
            <w:pPr>
              <w:keepNext/>
              <w:spacing w:after="20"/>
              <w:jc w:val="center"/>
            </w:pPr>
            <w:r>
              <w:rPr>
                <w:rFonts w:ascii="Times New Roman" w:cs="Times New Roman" w:eastAsia="Times New Roman" w:hAnsi="Times New Roman"/>
                <w:b/>
                <w:bCs/>
                <w:color w:val="FFFFFF"/>
                <w:sz w:val="20"/>
                <w:szCs w:val="20"/>
              </w:rPr>
              <w:t xml:space="preserve">Mức trích</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3</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6</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7</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center"/>
            </w:pPr>
            <w:r>
              <w:rPr>
                <w:rFonts w:ascii="Times New Roman" w:cs="Times New Roman" w:eastAsia="Times New Roman" w:hAnsi="Times New Roman"/>
                <w:b w:val="false"/>
                <w:bCs w:val="false"/>
                <w:sz w:val="20"/>
                <w:szCs w:val="20"/>
              </w:rPr>
              <w:t xml:space="preserve">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keepNext w:val="false"/>
              <w:spacing w:after="20"/>
              <w:jc w:val="left"/>
            </w:pPr>
          </w:p>
        </w:tc>
      </w:tr>
    </w:tbl>
    <w:p>
      <w:pPr>
        <w:spacing w:after="60"/>
      </w:pPr>
    </w:p>
    <w:p>
      <w:pPr>
        <w:spacing w:after="100" w:before="0" w:line="300"/>
        <w:jc w:val="both"/>
      </w:pPr>
      <w:r>
        <w:rPr>
          <w:rFonts w:ascii="Times New Roman" w:cs="Times New Roman" w:eastAsia="Times New Roman" w:hAnsi="Times New Roman"/>
          <w:i/>
          <w:iCs/>
          <w:sz w:val="26"/>
          <w:szCs w:val="26"/>
        </w:rPr>
        <w:t xml:space="preserve">Mức trích = Số lượng tồn × (Giá gốc – Giá trị thuần có thể thực hiện được) nếu dương. Hồ sơ kèm: hóa đơn bán gần nhất, báo giá thị trường.</w:t>
      </w:r>
    </w:p>
    <w:tbl>
      <w:tblPr>
        <w:tblW w:type="dxa" w:w="9069"/>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Kế toán trưởng</w:t>
            </w:r>
          </w:p>
          <w:p>
            <w:pPr>
              <w:spacing w:after="900"/>
              <w:jc w:val="center"/>
            </w:pPr>
            <w:r>
              <w:rPr>
                <w:rFonts w:ascii="Times New Roman" w:cs="Times New Roman" w:eastAsia="Times New Roman" w:hAnsi="Times New Roman"/>
                <w:i/>
                <w:iCs/>
                <w:sz w:val="22"/>
                <w:szCs w:val="22"/>
              </w:rPr>
              <w:t xml:space="preserve">(Ký, ghi rõ họ tên)</w:t>
            </w:r>
          </w:p>
        </w:tc>
        <w:tc>
          <w:tcPr>
            <w:tcW w:type="dxa" w:w="302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Giám đốc</w:t>
            </w:r>
          </w:p>
          <w:p>
            <w:pPr>
              <w:spacing w:after="900"/>
              <w:jc w:val="center"/>
            </w:pPr>
            <w:r>
              <w:rPr>
                <w:rFonts w:ascii="Times New Roman" w:cs="Times New Roman" w:eastAsia="Times New Roman" w:hAnsi="Times New Roman"/>
                <w:i/>
                <w:iCs/>
                <w:sz w:val="22"/>
                <w:szCs w:val="22"/>
              </w:rPr>
              <w:t xml:space="preserve">(Ký, ghi rõ họ tên)</w:t>
            </w:r>
          </w:p>
        </w:tc>
      </w:tr>
    </w:tbl>
    <w:p>
      <w:pPr>
        <w:spacing w:after="60"/>
      </w:pPr>
    </w:p>
    <w:p>
      <w:pPr>
        <w:spacing w:after="100" w:before="0" w:line="300"/>
        <w:jc w:val="center"/>
      </w:pPr>
      <w:r>
        <w:rPr>
          <w:rFonts w:ascii="Times New Roman" w:cs="Times New Roman" w:eastAsia="Times New Roman" w:hAnsi="Times New Roman"/>
          <w:i/>
          <w:iCs/>
          <w:sz w:val="26"/>
          <w:szCs w:val="26"/>
        </w:rPr>
        <w:t xml:space="preserve">— Hết —</w:t>
      </w:r>
    </w:p>
    <w:p>
      <w:pPr>
        <w:spacing w:after="60"/>
      </w:pPr>
    </w:p>
    <w:p>
      <w:pPr>
        <w:spacing w:after="100" w:before="0" w:line="300"/>
        <w:jc w:val="center"/>
      </w:pPr>
      <w:r>
        <w:t>Tài liệu quản trị nội bộ KK HOME</w:t>
      </w:r>
    </w:p>
    <w:p>
      <w:pPr>
        <w:spacing w:after="100" w:before="0" w:line="300"/>
        <w:jc w:val="center"/>
      </w:pPr>
      <w:r>
        <w:rPr>
          <w:rFonts w:ascii="Times New Roman" w:cs="Times New Roman" w:eastAsia="Times New Roman" w:hAnsi="Times New Roman"/>
          <w:i/>
          <w:iCs/>
          <w:sz w:val="22"/>
          <w:szCs w:val="22"/>
        </w:rPr>
        <w:t xml:space="preserve">Bạn được tự do sử dụng, chỉnh sửa cho doanh nghiệp của mình. Vui lòng giữ nguồn khi chia sẻ lại.</w:t>
      </w:r>
    </w:p>
    <w:sectPr>
      <w:headerReference w:type="default" r:id="rId7"/>
      <w:footerReference w:type="default" r:id="rId8"/>
      <w:pgSz w:w="11906" w:h="16838" w:orient="portrait"/>
      <w:pgMar w:top="1134" w:right="1134" w:bottom="1134" w:left="1701"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KK HOME —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365D" w:sz="4" w:space="2"/>
      </w:pBdr>
      <w:jc w:val="right"/>
    </w:pPr>
    <w:r>
      <w:t>KK HOME — QUẢN TRỊ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abstractNum w:abstractNumId="3" w15:restartNumberingAfterBreak="0">
    <w:multiLevelType w:val="hybridMultilevel"/>
    <w:lvl w:ilvl="0" w15: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QUẢN LÝ HÀNG TỒN KHO</dc:title>
  <dc:creator>Mr Wick Kiểm toán</dc:creator>
  <cp:lastModifiedBy>Un-named</cp:lastModifiedBy>
  <cp:revision>1</cp:revision>
  <dcterms:created xsi:type="dcterms:W3CDTF">2026-10-07T08:24:34.423Z</dcterms:created>
  <dcterms:modified xsi:type="dcterms:W3CDTF">2026-10-07T08:24:34.423Z</dcterms:modified>
</cp:coreProperties>
</file>

<file path=docProps/custom.xml><?xml version="1.0" encoding="utf-8"?>
<Properties xmlns="http://schemas.openxmlformats.org/officeDocument/2006/custom-properties" xmlns:vt="http://schemas.openxmlformats.org/officeDocument/2006/docPropsVTypes"/>
</file>