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00"/>
        <w:jc w:val="center"/>
      </w:pPr>
      <w:r>
        <w:rPr>
          <w:rFonts w:ascii="Times New Roman" w:cs="Times New Roman" w:eastAsia="Times New Roman" w:hAnsi="Times New Roman"/>
          <w:b/>
          <w:bCs/>
          <w:color w:val="17365D"/>
          <w:sz w:val="34"/>
          <w:szCs w:val="34"/>
        </w:rPr>
        <w:t xml:space="preserve">QUY TRÌNH MUA HÀNG –</w:t>
      </w:r>
    </w:p>
    <w:p>
      <w:pPr>
        <w:spacing w:after="40" w:before="0" w:line="300"/>
        <w:jc w:val="center"/>
      </w:pPr>
      <w:r>
        <w:rPr>
          <w:rFonts w:ascii="Times New Roman" w:cs="Times New Roman" w:eastAsia="Times New Roman" w:hAnsi="Times New Roman"/>
          <w:b/>
          <w:bCs/>
          <w:color w:val="17365D"/>
          <w:sz w:val="34"/>
          <w:szCs w:val="34"/>
        </w:rPr>
        <w:t xml:space="preserve">THANH TOÁN NHÀ CUNG CẤP 2026</w:t>
      </w:r>
    </w:p>
    <w:p>
      <w:pPr>
        <w:spacing w:after="60"/>
      </w:pPr>
    </w:p>
    <w:p>
      <w:pPr>
        <w:spacing w:after="100" w:before="0" w:line="300"/>
        <w:jc w:val="center"/>
      </w:pPr>
      <w:r>
        <w:rPr>
          <w:rFonts w:ascii="Times New Roman" w:cs="Times New Roman" w:eastAsia="Times New Roman" w:hAnsi="Times New Roman"/>
          <w:i/>
          <w:iCs/>
          <w:sz w:val="26"/>
          <w:szCs w:val="26"/>
        </w:rPr>
        <w:t xml:space="preserve">Đề nghị mua → Báo giá → Đơn hàng → Nhận hàng → Đối chiếu 3 chiều → Thanh toán</w:t>
      </w:r>
    </w:p>
    <w:p>
      <w:pPr>
        <w:spacing w:after="100" w:before="0" w:line="300"/>
        <w:jc w:val="center"/>
      </w:pPr>
      <w:r>
        <w:rPr>
          <w:rFonts w:ascii="Times New Roman" w:cs="Times New Roman" w:eastAsia="Times New Roman" w:hAnsi="Times New Roman"/>
          <w:i/>
          <w:iCs/>
          <w:sz w:val="26"/>
          <w:szCs w:val="26"/>
        </w:rPr>
        <w:t xml:space="preserve">Ghép cặp với Quy trình bán hàng – lập hóa đơn – thu hồi công nợ</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Thông tin</w:t>
            </w:r>
          </w:p>
        </w:tc>
        <w:tc>
          <w:tcPr>
            <w:tcW w:type="dxa" w:w="64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áp dụng</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[TÊN DOANH NGHIỆP]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Trụ sở</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[TỈNH/THÀNH PHỐ]</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Phiên bản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07/10/2026</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biên soạn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t>KK HOME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Phạm vi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Mua hàng hóa, nguyên vật liệu, dịch vụ; lựa chọn nhà cung cấp; nhận hàng; công nợ phải trả; thanh toán; thuế GTGT đầu vào, chi phí được trừ</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Thành phần bộ mẫu</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Hướng dẫn sử dụng – Quyết định ban hành – Quy trình 5 chương – Lưu đồ – 05 biểu mẫu – Checklist hồ sơ thanh toán</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PHẠM VI SỬ DỤNG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Áp dụng cho mua hàng hóa, nguyên vật liệu, dịch vụ, CCDC. Mua TSCĐ áp dụng thêm Quy chế quản lý TSCĐ và CCDC.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Thẩm quyền phê duyệt dẫn chiếu Ma trận phê duyệt của Công ty. Bảng ngưỡng trong Phụ lục 01 là bản rút gọn để người dùng tra nhanh.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Doanh nghiệp nhỏ có thể gộp vai trò Mua hàng và Kho, nhưng không gộp vai trò Mua hàng và Thanh toán.</w:t>
      </w:r>
    </w:p>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CÁC THÔNG SỐ ĐÃ ĐIỀN SẴN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900"/>
        <w:gridCol w:w="3171"/>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STT</w:t>
            </w:r>
          </w:p>
        </w:tc>
        <w:tc>
          <w:tcPr>
            <w:tcW w:type="dxa" w:w="24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c>
          <w:tcPr>
            <w:tcW w:type="dxa" w:w="2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Mức đề xuất</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Ghi chú</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Số báo giá</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Từ 20 triệu: 02 báo giá; từ 100 triệu: 03 báo giá</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Miễn khi độc quyền, khẩn cấp có giải trình.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Hợp đồng/Đơn đặt hàng bằng văn bản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Từ [20.000.000] đồng/giao dịch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Dưới mức: đơn hàng điện tử, email xác nhận.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Phương thức thanh toán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Hóa đơn từ 5.000.000 đồng: chuyển khoản từ tài khoản Công ty</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Điều kiện khấu trừ thuế GTGT và chi phí được trừ.</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Đánh giá nhà cung cấp</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[01] lần/năm; NCC mới: trước giao dịch đầu tiên</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Theo Mẫu 05.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Lịch thanh toán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[Thứ Ba và Thứ Sáu] hằng tuần</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Gom chứng từ, giảm số lần chi lẻ.</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6</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Đối chiếu công nợ phải trả</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Hằng quý và ngày 31/12</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Biên bản đối chiếu có chữ ký 2 bên.</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ĐÁNH GIÁ RỦI RO TRỰC TIẾP</w:t>
      </w:r>
    </w:p>
    <w:p>
      <w:pPr>
        <w:spacing w:after="100" w:before="0" w:line="300"/>
        <w:jc w:val="both"/>
      </w:pPr>
      <w:r>
        <w:rPr>
          <w:rFonts w:ascii="Times New Roman" w:cs="Times New Roman" w:eastAsia="Times New Roman" w:hAnsi="Times New Roman"/>
          <w:i/>
          <w:iCs/>
          <w:sz w:val="26"/>
          <w:szCs w:val="26"/>
        </w:rPr>
        <w:t xml:space="preserve">Các điểm dễ phát sinh sai sót, chi phí bị loại hoặc tranh chấp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950"/>
        <w:gridCol w:w="3171"/>
        <w:gridCol w:w="2800"/>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Khoản mục</w:t>
            </w:r>
          </w:p>
        </w:tc>
        <w:tc>
          <w:tcPr>
            <w:tcW w:type="dxa" w:w="9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Rủi ro</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Nhận định</w:t>
            </w:r>
          </w:p>
        </w:tc>
        <w:tc>
          <w:tcPr>
            <w:tcW w:type="dxa" w:w="2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Biện pháp kiểm soát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Hóa đơn đầu vào của NCC rủi ro, bỏ trốn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Hóa đơn có thể bị xác định không hợp pháp, Công ty bị loại thuế GTGT khấu trừ và chi phí.</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Kiểm tra trạng thái MST trước giao dịch; tra cứu hóa đơn trên hệ thống cơ quan thuế khi nhận.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Thanh toán tiền mặt hoặc qua tài khoản cá nhân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Hóa đơn từ 5 triệu đồng không có chứng từ thanh toán không dùng tiền mặt thì không đủ điều kiện khấu trừ, có thể bị loại chi phí.</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Chỉ chuyển khoản đến tài khoản NCC đã đăng ký trên hợp đồng hoặc đã thông báo cơ quan thuế.</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Thanh toán trùng một hóa đơn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Mất tiền, công nợ âm khó thu hồi.</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Đóng dấu "ĐÃ THANH TOÁN" hoặc khóa chứng từ trên phần mềm; đối chiếu số hóa đơn trước khi lập UNC.</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Nhận hàng không đúng đơn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Trả tiền cho hàng thiếu, kém chất lượng.</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Đối chiếu 3 chiều: Đơn hàng – Phiếu nhập/Biên bản nghiệm thu – Hóa đơn.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Mua của người có liên quan, giá cao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Thất thoát, rủi ro giao dịch liên kết và Luật Doanh nghiệp.</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Khai báo xung đột lợi ích; phê duyệt theo thủ tục người có liên quan.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Thay đổi số tài khoản NCC qua email</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Lừa đảo giả mạo email là hình thức mất tiền phổ biến.</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Xác minh lại bằng điện thoại đã đăng ký; cần văn bản có dấu, chữ ký của NCC.</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Mua dịch vụ của cá nhân không có hóa đơn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Thiếu chứng từ, chưa khấu trừ thuế TNCN.</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Hợp đồng dịch vụ; chứng từ khấu trừ TNCN; bảng kê theo quy định.</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KHUYẾN NGHỊ TRIỂN KHAI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Lập Danh sách nhà cung cấp được phê duyệt; chỉ mua ngoài danh sách khi có lý do.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Ghi số tài khoản ngân hàng NCC vào hợp đồng; không nhận thay đổi qua tin nhắn.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Bật tính năng tra cứu hóa đơn đầu vào tự động trên phần mềm kế toán hoặc hóa đơn.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Cuối tháng, Kế toán công nợ đối chiếu sổ chi tiết 331 với danh sách hóa đơn đầu vào trên hệ thống của cơ quan thuế.</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Lưu ý phản biện:</w:t>
            </w:r>
            <w:r>
              <w:rPr>
                <w:rFonts w:ascii="Times New Roman" w:cs="Times New Roman" w:eastAsia="Times New Roman" w:hAnsi="Times New Roman"/>
                <w:b w:val="false"/>
                <w:bCs w:val="false"/>
                <w:sz w:val="23"/>
                <w:szCs w:val="23"/>
              </w:rPr>
              <w:t xml:space="preserve"> Hóa đơn hợp lệ về hình thức chưa đủ để được khấu trừ, được trừ. Cơ quan thuế xem xét giao dịch thật: có hợp đồng, có hàng nhận về, có thanh toán, có sử dụng. Thiếu một mắt xích, cả bộ hồ sơ yếu đi.</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c>
          <w:tcPr>
            <w:tcW w:type="dxa" w:w="3800"/>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bCs/>
                <w:sz w:val="24"/>
                <w:szCs w:val="24"/>
              </w:rPr>
              <w:t xml:space="preserve">[TÊN DOANH NGHIỆP]</w:t>
            </w:r>
          </w:p>
          <w:p>
            <w:pPr>
              <w:spacing w:after="20"/>
              <w:jc w:val="center"/>
            </w:pPr>
            <w:r>
              <w:rPr>
                <w:rFonts w:ascii="Times New Roman" w:cs="Times New Roman" w:eastAsia="Times New Roman" w:hAnsi="Times New Roman"/>
                <w:sz w:val="24"/>
                <w:szCs w:val="24"/>
              </w:rPr>
              <w:t xml:space="preserve">Số: [SỐ]/2026/QĐ-[MÃ DN]</w:t>
            </w:r>
          </w:p>
        </w:tc>
        <w:tc>
          <w:tcPr>
            <w:tcW w:type="dxa" w:w="5271"/>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bCs/>
                <w:sz w:val="24"/>
                <w:szCs w:val="24"/>
              </w:rPr>
              <w:t xml:space="preserve">CỘNG HÒA XÃ HỘI CHỦ NGHĨA VIỆT NAM</w:t>
            </w:r>
          </w:p>
          <w:p>
            <w:pPr>
              <w:spacing w:after="20"/>
              <w:jc w:val="center"/>
            </w:pPr>
            <w:r>
              <w:rPr>
                <w:rFonts w:ascii="Times New Roman" w:cs="Times New Roman" w:eastAsia="Times New Roman" w:hAnsi="Times New Roman"/>
                <w:b/>
                <w:bCs/>
                <w:sz w:val="24"/>
                <w:szCs w:val="24"/>
              </w:rPr>
              <w:t xml:space="preserve">Độc lập - Tự do - Hạnh phúc</w:t>
            </w:r>
          </w:p>
        </w:tc>
      </w:tr>
    </w:tbl>
    <w:p>
      <w:pPr>
        <w:spacing w:after="60"/>
      </w:pPr>
    </w:p>
    <w:p>
      <w:pPr>
        <w:spacing w:after="100" w:before="0" w:line="300"/>
        <w:jc w:val="right"/>
      </w:pPr>
      <w:r>
        <w:rPr>
          <w:rFonts w:ascii="Times New Roman" w:cs="Times New Roman" w:eastAsia="Times New Roman" w:hAnsi="Times New Roman"/>
          <w:i/>
          <w:iCs/>
          <w:sz w:val="26"/>
          <w:szCs w:val="26"/>
        </w:rPr>
        <w:t xml:space="preserve">[TỈNH/THÀNH PHỐ], ngày [NGÀY] tháng [THÁNG] năm 2026</w:t>
      </w:r>
    </w:p>
    <w:p>
      <w:pPr>
        <w:spacing w:after="40" w:before="120" w:line="300"/>
        <w:jc w:val="center"/>
      </w:pPr>
      <w:r>
        <w:rPr>
          <w:rFonts w:ascii="Times New Roman" w:cs="Times New Roman" w:eastAsia="Times New Roman" w:hAnsi="Times New Roman"/>
          <w:b/>
          <w:bCs/>
          <w:sz w:val="30"/>
          <w:szCs w:val="30"/>
        </w:rPr>
        <w:t xml:space="preserve">QUYẾT ĐỊNH</w:t>
      </w:r>
    </w:p>
    <w:p>
      <w:pPr>
        <w:spacing w:after="160" w:before="0" w:line="300"/>
        <w:jc w:val="center"/>
      </w:pPr>
      <w:r>
        <w:rPr>
          <w:rFonts w:ascii="Times New Roman" w:cs="Times New Roman" w:eastAsia="Times New Roman" w:hAnsi="Times New Roman"/>
          <w:b/>
          <w:bCs/>
          <w:sz w:val="26"/>
          <w:szCs w:val="26"/>
        </w:rPr>
        <w:t xml:space="preserve">Về việc ban hành Quy trình mua hàng – thanh toán nhà cung cấp</w:t>
      </w:r>
    </w:p>
    <w:p>
      <w:pPr>
        <w:spacing w:after="160" w:before="0" w:line="300"/>
        <w:jc w:val="center"/>
      </w:pPr>
      <w:r>
        <w:rPr>
          <w:rFonts w:ascii="Times New Roman" w:cs="Times New Roman" w:eastAsia="Times New Roman" w:hAnsi="Times New Roman"/>
          <w:b/>
          <w:bCs/>
          <w:sz w:val="26"/>
          <w:szCs w:val="26"/>
        </w:rPr>
        <w:t xml:space="preserve">[CHỨC DANH NGƯỜI CÓ THẨM QUYỀN]</w:t>
      </w:r>
    </w:p>
    <w:p>
      <w:pPr>
        <w:spacing w:after="60" w:before="0" w:line="300"/>
        <w:jc w:val="both"/>
      </w:pPr>
      <w:r>
        <w:rPr>
          <w:rFonts w:ascii="Times New Roman" w:cs="Times New Roman" w:eastAsia="Times New Roman" w:hAnsi="Times New Roman"/>
          <w:i/>
          <w:iCs/>
          <w:sz w:val="24"/>
          <w:szCs w:val="24"/>
        </w:rPr>
        <w:t xml:space="preserve">Căn cứ Luật Doanh nghiệp số 59/2020/QH14 ngày 17/6/2020, đã được sửa đổi, bổ sung, và các văn bản hướng dẫn thi hành;</w:t>
      </w:r>
    </w:p>
    <w:p>
      <w:pPr>
        <w:spacing w:after="60" w:before="0" w:line="300"/>
        <w:jc w:val="both"/>
      </w:pPr>
      <w:r>
        <w:rPr>
          <w:rFonts w:ascii="Times New Roman" w:cs="Times New Roman" w:eastAsia="Times New Roman" w:hAnsi="Times New Roman"/>
          <w:i/>
          <w:iCs/>
          <w:sz w:val="24"/>
          <w:szCs w:val="24"/>
        </w:rPr>
        <w:t xml:space="preserve">Căn cứ Luật Kế toán số 88/2015/QH13 ngày 20/11/2015, đã được sửa đổi, bổ sung bởi Luật số 56/2024/QH15; Nghị định số 174/2016/NĐ-CP ngày 30/12/2016 của Chính phủ, đã được sửa đổi, bổ sung;</w:t>
      </w:r>
    </w:p>
    <w:p>
      <w:pPr>
        <w:spacing w:after="60" w:before="0" w:line="300"/>
        <w:jc w:val="both"/>
      </w:pPr>
      <w:r>
        <w:rPr>
          <w:rFonts w:ascii="Times New Roman" w:cs="Times New Roman" w:eastAsia="Times New Roman" w:hAnsi="Times New Roman"/>
          <w:i/>
          <w:iCs/>
          <w:sz w:val="24"/>
          <w:szCs w:val="24"/>
        </w:rPr>
        <w:t xml:space="preserve">Căn cứ Thông tư số 99/2025/TT-BTC ngày 27/10/2025 của Bộ Tài chính hướng dẫn Chế độ kế toán doanh nghiệp;</w:t>
      </w:r>
    </w:p>
    <w:p>
      <w:pPr>
        <w:spacing w:after="60" w:before="0" w:line="300"/>
        <w:jc w:val="both"/>
      </w:pPr>
      <w:r>
        <w:rPr>
          <w:rFonts w:ascii="Times New Roman" w:cs="Times New Roman" w:eastAsia="Times New Roman" w:hAnsi="Times New Roman"/>
          <w:i/>
          <w:iCs/>
          <w:sz w:val="24"/>
          <w:szCs w:val="24"/>
        </w:rPr>
        <w:t xml:space="preserve">Căn cứ Luật Thuế giá trị gia tăng số 48/2024/QH15 ngày 26/11/2024, đã được sửa đổi, bổ sung; Nghị định số 181/2025/NĐ-CP của Chính phủ và các văn bản hướng dẫn;</w:t>
      </w:r>
    </w:p>
    <w:p>
      <w:pPr>
        <w:spacing w:after="60" w:before="0" w:line="300"/>
        <w:jc w:val="both"/>
      </w:pPr>
      <w:r>
        <w:rPr>
          <w:rFonts w:ascii="Times New Roman" w:cs="Times New Roman" w:eastAsia="Times New Roman" w:hAnsi="Times New Roman"/>
          <w:i/>
          <w:iCs/>
          <w:sz w:val="24"/>
          <w:szCs w:val="24"/>
        </w:rPr>
        <w:t xml:space="preserve">Căn cứ Luật Thuế thu nhập doanh nghiệp số 67/2025/QH15 ngày 14/6/2025, đã được sửa đổi, bổ sung; Nghị định số 320/2025/NĐ-CP ngày 15/12/2025 của Chính phủ và các văn bản hướng dẫn;</w:t>
      </w:r>
    </w:p>
    <w:p>
      <w:pPr>
        <w:spacing w:after="60" w:before="0" w:line="300"/>
        <w:jc w:val="both"/>
      </w:pPr>
      <w:r>
        <w:rPr>
          <w:rFonts w:ascii="Times New Roman" w:cs="Times New Roman" w:eastAsia="Times New Roman" w:hAnsi="Times New Roman"/>
          <w:i/>
          <w:iCs/>
          <w:sz w:val="24"/>
          <w:szCs w:val="24"/>
        </w:rPr>
        <w:t xml:space="preserve">Căn cứ Nghị định số 254/2026/NĐ-CP ngày 30/6/2026 của Chính phủ quy định về hóa đơn, chứng từ và Thông tư số 91/2026/TT-BTC của Bộ Tài chính hướng dẫn thi hành;</w:t>
      </w:r>
    </w:p>
    <w:p>
      <w:pPr>
        <w:spacing w:after="60" w:before="0" w:line="300"/>
        <w:jc w:val="both"/>
      </w:pPr>
      <w:r>
        <w:rPr>
          <w:rFonts w:ascii="Times New Roman" w:cs="Times New Roman" w:eastAsia="Times New Roman" w:hAnsi="Times New Roman"/>
          <w:i/>
          <w:iCs/>
          <w:sz w:val="24"/>
          <w:szCs w:val="24"/>
        </w:rPr>
        <w:t xml:space="preserve">Căn cứ Bộ luật Dân sự số 91/2015/QH13 ngày 24/11/2015 và Luật Thương mại số 36/2005/QH11 ngày 14/6/2005, đã được sửa đổi, bổ sung;</w:t>
      </w:r>
    </w:p>
    <w:p>
      <w:pPr>
        <w:spacing w:after="60" w:before="0" w:line="300"/>
        <w:jc w:val="both"/>
      </w:pPr>
      <w:r>
        <w:rPr>
          <w:rFonts w:ascii="Times New Roman" w:cs="Times New Roman" w:eastAsia="Times New Roman" w:hAnsi="Times New Roman"/>
          <w:i/>
          <w:iCs/>
          <w:sz w:val="24"/>
          <w:szCs w:val="24"/>
        </w:rPr>
        <w:t xml:space="preserve">Căn cứ Điều lệ tổ chức và hoạt động, Quy chế tài chính của [TÊN DOANH NGHIỆP];</w:t>
      </w:r>
    </w:p>
    <w:p>
      <w:pPr>
        <w:spacing w:after="160" w:before="0" w:line="300"/>
        <w:jc w:val="both"/>
      </w:pPr>
      <w:r>
        <w:rPr>
          <w:rFonts w:ascii="Times New Roman" w:cs="Times New Roman" w:eastAsia="Times New Roman" w:hAnsi="Times New Roman"/>
          <w:i/>
          <w:iCs/>
          <w:sz w:val="26"/>
          <w:szCs w:val="26"/>
        </w:rPr>
        <w:t xml:space="preserve">Xét đề nghị của Kế toán trưởng/Phụ trách kế toán,</w:t>
      </w:r>
    </w:p>
    <w:p>
      <w:pPr>
        <w:spacing w:after="120" w:before="0" w:line="300"/>
        <w:jc w:val="center"/>
      </w:pPr>
      <w:r>
        <w:rPr>
          <w:rFonts w:ascii="Times New Roman" w:cs="Times New Roman" w:eastAsia="Times New Roman" w:hAnsi="Times New Roman"/>
          <w:b/>
          <w:bCs/>
          <w:sz w:val="26"/>
          <w:szCs w:val="26"/>
        </w:rPr>
        <w:t xml:space="preserve">QUYẾT ĐỊNH:</w:t>
      </w:r>
    </w:p>
    <w:p>
      <w:pPr>
        <w:spacing w:after="100" w:before="0" w:line="300"/>
        <w:jc w:val="both"/>
      </w:pPr>
      <w:r>
        <w:rPr>
          <w:rFonts w:ascii="Times New Roman" w:cs="Times New Roman" w:eastAsia="Times New Roman" w:hAnsi="Times New Roman"/>
          <w:b/>
          <w:bCs/>
          <w:sz w:val="26"/>
          <w:szCs w:val="26"/>
        </w:rPr>
        <w:t xml:space="preserve">Điều 1.</w:t>
      </w:r>
      <w:r>
        <w:rPr>
          <w:rFonts w:ascii="Times New Roman" w:cs="Times New Roman" w:eastAsia="Times New Roman" w:hAnsi="Times New Roman"/>
          <w:sz w:val="26"/>
          <w:szCs w:val="26"/>
        </w:rPr>
        <w:t xml:space="preserve"> Ban hành kèm theo Quyết định này Quy trình mua hàng – thanh toán nhà cung cấp của [TÊN DOANH NGHIỆP], gồm 05 chương, 19 điều và 07 phụ lục.</w:t>
      </w:r>
    </w:p>
    <w:p>
      <w:pPr>
        <w:spacing w:after="100" w:before="0" w:line="300"/>
        <w:jc w:val="both"/>
      </w:pPr>
      <w:r>
        <w:rPr>
          <w:rFonts w:ascii="Times New Roman" w:cs="Times New Roman" w:eastAsia="Times New Roman" w:hAnsi="Times New Roman"/>
          <w:b/>
          <w:bCs/>
          <w:sz w:val="26"/>
          <w:szCs w:val="26"/>
        </w:rPr>
        <w:t xml:space="preserve">Điều 2.</w:t>
      </w:r>
      <w:r>
        <w:rPr>
          <w:rFonts w:ascii="Times New Roman" w:cs="Times New Roman" w:eastAsia="Times New Roman" w:hAnsi="Times New Roman"/>
          <w:sz w:val="26"/>
          <w:szCs w:val="26"/>
        </w:rPr>
        <w:t xml:space="preserve"> Quy trình áp dụng đối với mọi hoạt động mua hàng hóa, nguyên vật liệu, dịch vụ, công cụ dụng cụ của Công ty.</w:t>
      </w:r>
    </w:p>
    <w:p>
      <w:pPr>
        <w:spacing w:after="100" w:before="0" w:line="300"/>
        <w:jc w:val="both"/>
      </w:pPr>
      <w:r>
        <w:rPr>
          <w:rFonts w:ascii="Times New Roman" w:cs="Times New Roman" w:eastAsia="Times New Roman" w:hAnsi="Times New Roman"/>
          <w:b/>
          <w:bCs/>
          <w:sz w:val="26"/>
          <w:szCs w:val="26"/>
        </w:rPr>
        <w:t xml:space="preserve">Điều 3.</w:t>
      </w:r>
      <w:r>
        <w:rPr>
          <w:rFonts w:ascii="Times New Roman" w:cs="Times New Roman" w:eastAsia="Times New Roman" w:hAnsi="Times New Roman"/>
          <w:sz w:val="26"/>
          <w:szCs w:val="26"/>
        </w:rPr>
        <w:t xml:space="preserve"> Kế toán trưởng, Trưởng các bộ phận và toàn thể người lao động chịu trách nhiệm thi hành Quyết định này.</w:t>
      </w:r>
    </w:p>
    <w:p>
      <w:pPr>
        <w:keepNext/>
        <w:spacing w:after="100" w:before="0" w:line="300"/>
        <w:jc w:val="both"/>
      </w:pPr>
      <w:r>
        <w:rPr>
          <w:rFonts w:ascii="Times New Roman" w:cs="Times New Roman" w:eastAsia="Times New Roman" w:hAnsi="Times New Roman"/>
          <w:b/>
          <w:bCs/>
          <w:sz w:val="26"/>
          <w:szCs w:val="26"/>
        </w:rPr>
        <w:t xml:space="preserve">Điều 4.</w:t>
      </w:r>
      <w:r>
        <w:rPr>
          <w:rFonts w:ascii="Times New Roman" w:cs="Times New Roman" w:eastAsia="Times New Roman" w:hAnsi="Times New Roman"/>
          <w:sz w:val="26"/>
          <w:szCs w:val="26"/>
        </w:rPr>
        <w:t xml:space="preserve"> Quyết định có hiệu lực từ ngày [NGÀY HIỆU LỰC]. Các quy định trước đây của Công ty trái với văn bản ban hành kèm theo Quyết định này hết hiệu lực kể từ ngày Quyết định có hiệu lực.</w:t>
      </w:r>
    </w:p>
    <w:p>
      <w:pPr>
        <w:keepNext/>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Nơi nhận:</w:t>
            </w:r>
          </w:p>
          <w:p>
            <w:pPr>
              <w:keepNext w:val="false"/>
              <w:spacing w:after="20"/>
              <w:jc w:val="left"/>
            </w:pPr>
            <w:r>
              <w:rPr>
                <w:rFonts w:ascii="Times New Roman" w:cs="Times New Roman" w:eastAsia="Times New Roman" w:hAnsi="Times New Roman"/>
                <w:b w:val="false"/>
                <w:bCs w:val="false"/>
                <w:sz w:val="23"/>
                <w:szCs w:val="23"/>
              </w:rPr>
              <w:t xml:space="preserve">- Như Điều 3;</w:t>
            </w:r>
          </w:p>
          <w:p>
            <w:pPr>
              <w:keepNext w:val="false"/>
              <w:spacing w:after="20"/>
              <w:jc w:val="left"/>
            </w:pPr>
            <w:r>
              <w:rPr>
                <w:rFonts w:ascii="Times New Roman" w:cs="Times New Roman" w:eastAsia="Times New Roman" w:hAnsi="Times New Roman"/>
                <w:b w:val="false"/>
                <w:bCs w:val="false"/>
                <w:sz w:val="23"/>
                <w:szCs w:val="23"/>
              </w:rPr>
              <w:t xml:space="preserve">- Lưu: VT, KT.</w:t>
            </w:r>
          </w:p>
        </w:tc>
        <w:tc>
          <w:tcPr>
            <w:tcW w:type="dxa" w:w="4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[CHỨC DANH]</w:t>
            </w:r>
          </w:p>
          <w:p>
            <w:pPr>
              <w:keepNext w:val="false"/>
              <w:spacing w:after="20"/>
              <w:jc w:val="left"/>
            </w:pPr>
            <w:r>
              <w:rPr>
                <w:rFonts w:ascii="Times New Roman" w:cs="Times New Roman" w:eastAsia="Times New Roman" w:hAnsi="Times New Roman"/>
                <w:b w:val="false"/>
                <w:bCs w:val="false"/>
                <w:sz w:val="23"/>
                <w:szCs w:val="23"/>
              </w:rPr>
              <w:t xml:space="preserve">(Ký, ghi rõ họ tên, đóng dấu)</w:t>
            </w:r>
          </w:p>
          <w:p>
            <w:pPr>
              <w:keepNext w:val="false"/>
              <w:spacing w:after="20"/>
              <w:jc w:val="left"/>
            </w:pPr>
          </w:p>
          <w:p>
            <w:pPr>
              <w:keepNext w:val="false"/>
              <w:spacing w:after="20"/>
              <w:jc w:val="left"/>
            </w:pPr>
          </w:p>
          <w:p>
            <w:pPr>
              <w:keepNext w:val="false"/>
              <w:spacing w:after="20"/>
              <w:jc w:val="left"/>
            </w:pPr>
            <w:r>
              <w:rPr>
                <w:rFonts w:ascii="Times New Roman" w:cs="Times New Roman" w:eastAsia="Times New Roman" w:hAnsi="Times New Roman"/>
                <w:b w:val="false"/>
                <w:bCs w:val="false"/>
                <w:sz w:val="23"/>
                <w:szCs w:val="23"/>
              </w:rPr>
              <w:t xml:space="preserve">[HỌ VÀ TÊN]</w:t>
            </w:r>
          </w:p>
        </w:tc>
      </w:tr>
    </w:tbl>
    <w:p>
      <w:pPr>
        <w:pageBreakBefore/>
        <w:spacing w:after="0" w:line="120"/>
      </w:pPr>
    </w:p>
    <w:p>
      <w:pPr>
        <w:spacing w:after="20" w:before="0" w:line="300"/>
        <w:jc w:val="center"/>
      </w:pPr>
      <w:r>
        <w:rPr>
          <w:rFonts w:ascii="Times New Roman" w:cs="Times New Roman" w:eastAsia="Times New Roman" w:hAnsi="Times New Roman"/>
          <w:b/>
          <w:bCs/>
          <w:sz w:val="26"/>
          <w:szCs w:val="26"/>
        </w:rPr>
        <w:t xml:space="preserve">[TÊN DOANH NGHIỆP]</w:t>
      </w:r>
    </w:p>
    <w:p>
      <w:pPr>
        <w:spacing w:after="160" w:before="0" w:line="300"/>
        <w:jc w:val="center"/>
      </w:pPr>
      <w:r>
        <w:rPr>
          <w:rFonts w:ascii="Times New Roman" w:cs="Times New Roman" w:eastAsia="Times New Roman" w:hAnsi="Times New Roman"/>
          <w:i/>
          <w:iCs/>
          <w:sz w:val="24"/>
          <w:szCs w:val="24"/>
        </w:rPr>
        <w:t xml:space="preserve">(Ban hành kèm theo Quyết định số [SỐ]/2026/QĐ-[MÃ DN] ngày [NGÀY])</w:t>
      </w:r>
    </w:p>
    <w:p>
      <w:pPr>
        <w:spacing w:after="200" w:before="0" w:line="300"/>
        <w:jc w:val="center"/>
      </w:pPr>
      <w:r>
        <w:rPr>
          <w:rFonts w:ascii="Times New Roman" w:cs="Times New Roman" w:eastAsia="Times New Roman" w:hAnsi="Times New Roman"/>
          <w:b/>
          <w:bCs/>
          <w:color w:val="17365D"/>
          <w:sz w:val="30"/>
          <w:szCs w:val="30"/>
        </w:rPr>
        <w:t xml:space="preserve">QUY TRÌNH MUA HÀNG – THANH TOÁN NHÀ CUNG CẤP</w:t>
      </w:r>
    </w:p>
    <w:p>
      <w:pPr>
        <w:keepNext/>
        <w:spacing w:after="160" w:before="280"/>
        <w:jc w:val="center"/>
      </w:pPr>
      <w:r>
        <w:rPr>
          <w:rFonts w:ascii="Times New Roman" w:cs="Times New Roman" w:eastAsia="Times New Roman" w:hAnsi="Times New Roman"/>
          <w:b/>
          <w:bCs/>
          <w:color w:val="17365D"/>
          <w:sz w:val="27"/>
          <w:szCs w:val="27"/>
        </w:rPr>
        <w:t xml:space="preserve">CHƯƠNG I. QUY ĐỊNH CHUNG</w:t>
      </w:r>
    </w:p>
    <w:p>
      <w:pPr>
        <w:keepNext/>
        <w:spacing w:after="80" w:before="160"/>
      </w:pPr>
      <w:r>
        <w:rPr>
          <w:rFonts w:ascii="Times New Roman" w:cs="Times New Roman" w:eastAsia="Times New Roman" w:hAnsi="Times New Roman"/>
          <w:b/>
          <w:bCs/>
          <w:sz w:val="26"/>
          <w:szCs w:val="26"/>
        </w:rPr>
        <w:t xml:space="preserve">Điều 1. Phạm vi và đối tượng</w:t>
      </w:r>
    </w:p>
    <w:p>
      <w:pPr>
        <w:spacing w:after="100" w:before="0" w:line="300"/>
        <w:jc w:val="both"/>
      </w:pPr>
      <w:r>
        <w:rPr>
          <w:rFonts w:ascii="Times New Roman" w:cs="Times New Roman" w:eastAsia="Times New Roman" w:hAnsi="Times New Roman"/>
          <w:sz w:val="26"/>
          <w:szCs w:val="26"/>
        </w:rPr>
        <w:t xml:space="preserve">Quy trình quy định các bước từ phát sinh nhu cầu mua đến thanh toán và lưu hồ sơ; áp dụng cho bộ phận có nhu cầu, bộ phận Mua hàng, Kho, Kế toán và Ban Giám đốc.</w:t>
      </w:r>
    </w:p>
    <w:p>
      <w:pPr>
        <w:keepNext/>
        <w:spacing w:after="80" w:before="160"/>
      </w:pPr>
      <w:r>
        <w:rPr>
          <w:rFonts w:ascii="Times New Roman" w:cs="Times New Roman" w:eastAsia="Times New Roman" w:hAnsi="Times New Roman"/>
          <w:b/>
          <w:bCs/>
          <w:sz w:val="26"/>
          <w:szCs w:val="26"/>
        </w:rPr>
        <w:t xml:space="preserve">Điều 2. Nguyên tắc</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Không mua khi chưa có đề nghị được phê duyệt, trừ trường hợp khẩn cấp theo Ma trận phê duyệt.</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Tách 4 vai trò: đề nghị – mua – nhận hàng – thanh toán.</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Đối chiếu 3 chiều trước khi thanh toán.</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Thanh toán không dùng tiền mặt đối với hóa đơn từ 5.000.000 đồng trở lên.</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Mọi thay đổi thông tin thanh toán của NCC phải được xác minh độc lập.</w:t>
      </w:r>
    </w:p>
    <w:p>
      <w:pPr>
        <w:keepNext/>
        <w:spacing w:after="80" w:before="160"/>
      </w:pPr>
      <w:r>
        <w:rPr>
          <w:rFonts w:ascii="Times New Roman" w:cs="Times New Roman" w:eastAsia="Times New Roman" w:hAnsi="Times New Roman"/>
          <w:b/>
          <w:bCs/>
          <w:sz w:val="26"/>
          <w:szCs w:val="26"/>
        </w:rPr>
        <w:t xml:space="preserve">Điều 3. Phân công trách nhiệm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1900"/>
        <w:gridCol w:w="2171"/>
      </w:tblGrid>
      <w:tr>
        <w:trPr>
          <w:tblHeader/>
        </w:trPr>
        <w:tc>
          <w:tcPr>
            <w:tcW w:type="dxa" w:w="15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Bước</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Bộ phận đề nghị</w:t>
            </w:r>
          </w:p>
        </w:tc>
        <w:tc>
          <w:tcPr>
            <w:tcW w:type="dxa" w:w="1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Mua hàng</w:t>
            </w:r>
          </w:p>
        </w:tc>
        <w:tc>
          <w:tcPr>
            <w:tcW w:type="dxa" w:w="1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Kho/Nghiệm thu</w:t>
            </w:r>
          </w:p>
        </w:tc>
        <w:tc>
          <w:tcPr>
            <w:tcW w:type="dxa" w:w="2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Kế toán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Lập đề nghị</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Thực hiện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2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Kiểm tra ngân sách</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Báo giá, chọn NCC</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Xác nhận kỹ thuật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Thực hiện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2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Kiểm tra MST NCC</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Đơn hàng/Hợp đồng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Lập, trình ký</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2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Kiểm tra điều khoản thanh toán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Nhận hàng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Nghiệm thu dịch vụ</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Theo dõi giao hàng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Kiểm đếm, lập phiếu nhập</w:t>
            </w:r>
          </w:p>
        </w:tc>
        <w:tc>
          <w:tcPr>
            <w:tcW w:type="dxa" w:w="2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Thanh toán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w:t>
            </w:r>
          </w:p>
        </w:tc>
        <w:tc>
          <w:tcPr>
            <w:tcW w:type="dxa" w:w="2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Đối chiếu 3 chiều, lập UNC</w:t>
            </w:r>
          </w:p>
        </w:tc>
      </w:tr>
    </w:tbl>
    <w:p>
      <w:pPr>
        <w:spacing w:after="60"/>
      </w:pPr>
    </w:p>
    <w:p>
      <w:pPr>
        <w:keepNext/>
        <w:spacing w:after="160" w:before="280"/>
        <w:jc w:val="center"/>
      </w:pPr>
      <w:r>
        <w:rPr>
          <w:rFonts w:ascii="Times New Roman" w:cs="Times New Roman" w:eastAsia="Times New Roman" w:hAnsi="Times New Roman"/>
          <w:b/>
          <w:bCs/>
          <w:color w:val="17365D"/>
          <w:sz w:val="27"/>
          <w:szCs w:val="27"/>
        </w:rPr>
        <w:t xml:space="preserve">CHƯƠNG II. ĐỀ NGHỊ MUA VÀ LỰA CHỌN NHÀ CUNG CẤP</w:t>
      </w:r>
    </w:p>
    <w:p>
      <w:pPr>
        <w:keepNext/>
        <w:spacing w:after="80" w:before="160"/>
      </w:pPr>
      <w:r>
        <w:rPr>
          <w:rFonts w:ascii="Times New Roman" w:cs="Times New Roman" w:eastAsia="Times New Roman" w:hAnsi="Times New Roman"/>
          <w:b/>
          <w:bCs/>
          <w:sz w:val="26"/>
          <w:szCs w:val="26"/>
        </w:rPr>
        <w:t xml:space="preserve">Điều 4. Lập đề nghị mua</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Bộ phận có nhu cầu lập Phiếu đề nghị mua (Mẫu 01): tên hàng, quy cách, số lượng, thời gian cần, dự toán, mục đích.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mua định kỳ (văn phòng phẩm, vật tư tiêu hao) được lập kế hoạch tháng thay cho đề nghị từng lần.</w:t>
      </w:r>
    </w:p>
    <w:p>
      <w:pPr>
        <w:keepNext/>
        <w:spacing w:after="80" w:before="160"/>
      </w:pPr>
      <w:r>
        <w:rPr>
          <w:rFonts w:ascii="Times New Roman" w:cs="Times New Roman" w:eastAsia="Times New Roman" w:hAnsi="Times New Roman"/>
          <w:b/>
          <w:bCs/>
          <w:sz w:val="26"/>
          <w:szCs w:val="26"/>
        </w:rPr>
        <w:t xml:space="preserve">Điều 5. Kiểm tra ngân sách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kiểm tra trong [01] ngày làm việc: còn ngân sách, đúng mã chi phí, không trùng đề nghị đang xử lý.</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Vượt ngân sách: trả lại hoặc trình phê duyệt ngoài ngân sách.</w:t>
      </w:r>
    </w:p>
    <w:p>
      <w:pPr>
        <w:keepNext/>
        <w:spacing w:after="80" w:before="160"/>
      </w:pPr>
      <w:r>
        <w:rPr>
          <w:rFonts w:ascii="Times New Roman" w:cs="Times New Roman" w:eastAsia="Times New Roman" w:hAnsi="Times New Roman"/>
          <w:b/>
          <w:bCs/>
          <w:sz w:val="26"/>
          <w:szCs w:val="26"/>
        </w:rPr>
        <w:t xml:space="preserve">Điều 6. Lấy báo giá và so sánh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Bộ phận Mua hàng lấy báo giá theo ngưỡng tại Phụ lục 01, lập Bảng so sánh (Mẫu 02) theo tiêu chí: giá, chất lượng, thời gian giao, bảo hành, điều kiện thanh toán, uy tín.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Báo giá phải có tên, MST, ngày, chữ ký/xác nhận của NCC; báo giá qua email được in hoặc lưu file.</w:t>
      </w:r>
    </w:p>
    <w:p>
      <w:pPr>
        <w:keepNext/>
        <w:spacing w:after="80" w:before="160"/>
      </w:pPr>
      <w:r>
        <w:rPr>
          <w:rFonts w:ascii="Times New Roman" w:cs="Times New Roman" w:eastAsia="Times New Roman" w:hAnsi="Times New Roman"/>
          <w:b/>
          <w:bCs/>
          <w:sz w:val="26"/>
          <w:szCs w:val="26"/>
        </w:rPr>
        <w:t xml:space="preserve">Điều 7. Thẩm định nhà cung cấp</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NCC mới: kiểm tra trạng thái MST, ngành nghề, địa chỉ, người đại diện; thu thập giấy phép (nếu ngành nghề có điều kiện).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NCC là người có liên quan với thành viên quản lý của Công ty phải khai báo và phê duyệt theo thủ tục riêng.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Hằng năm đánh giá NCC theo Mẫu 05; NCC xếp loại D bị loại khỏi danh sách.</w:t>
      </w:r>
    </w:p>
    <w:p>
      <w:pPr>
        <w:keepNext/>
        <w:spacing w:after="160" w:before="280"/>
        <w:jc w:val="center"/>
      </w:pPr>
      <w:r>
        <w:rPr>
          <w:rFonts w:ascii="Times New Roman" w:cs="Times New Roman" w:eastAsia="Times New Roman" w:hAnsi="Times New Roman"/>
          <w:b/>
          <w:bCs/>
          <w:color w:val="17365D"/>
          <w:sz w:val="27"/>
          <w:szCs w:val="27"/>
        </w:rPr>
        <w:t xml:space="preserve">CHƯƠNG III. ĐẶT HÀNG VÀ NHẬN HÀNG</w:t>
      </w:r>
    </w:p>
    <w:p>
      <w:pPr>
        <w:keepNext/>
        <w:spacing w:after="80" w:before="160"/>
      </w:pPr>
      <w:r>
        <w:rPr>
          <w:rFonts w:ascii="Times New Roman" w:cs="Times New Roman" w:eastAsia="Times New Roman" w:hAnsi="Times New Roman"/>
          <w:b/>
          <w:bCs/>
          <w:sz w:val="26"/>
          <w:szCs w:val="26"/>
        </w:rPr>
        <w:t xml:space="preserve">Điều 8. Đơn đặt hàng và hợp đồng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Lập Đơn đặt hàng (Mẫu 03) hoặc hợp đồng theo ngưỡng; ghi rõ số tài khoản thụ hưởng của NCC.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Hợp đồng nguyên tắc dùng cho NCC giao dịch thường xuyên; mỗi lần giao hàng có đơn hàng kèm theo.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Điều khoản phạt vi phạm theo Luật Thương mại không vượt 8% giá trị phần nghĩa vụ bị vi phạm.</w:t>
      </w:r>
    </w:p>
    <w:p>
      <w:pPr>
        <w:keepNext/>
        <w:spacing w:after="80" w:before="160"/>
      </w:pPr>
      <w:r>
        <w:rPr>
          <w:rFonts w:ascii="Times New Roman" w:cs="Times New Roman" w:eastAsia="Times New Roman" w:hAnsi="Times New Roman"/>
          <w:b/>
          <w:bCs/>
          <w:sz w:val="26"/>
          <w:szCs w:val="26"/>
        </w:rPr>
        <w:t xml:space="preserve">Điều 9. Nhận hàng hóa</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Kho kiểm đếm số lượng, quy cách, chất lượng theo đơn hàng; lập Phiếu nhập kho.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thiếu, sai, hỏng: lập Biên bản giao nhận ghi rõ sai lệch, chụp ảnh, báo bộ phận Mua hàng trong ngày.</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Không nhập kho hàng chưa có đơn hàng được duyệt.</w:t>
      </w:r>
    </w:p>
    <w:p>
      <w:pPr>
        <w:keepNext/>
        <w:spacing w:after="80" w:before="160"/>
      </w:pPr>
      <w:r>
        <w:rPr>
          <w:rFonts w:ascii="Times New Roman" w:cs="Times New Roman" w:eastAsia="Times New Roman" w:hAnsi="Times New Roman"/>
          <w:b/>
          <w:bCs/>
          <w:sz w:val="26"/>
          <w:szCs w:val="26"/>
        </w:rPr>
        <w:t xml:space="preserve">Điều 10. Nghiệm thu dịch vụ</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Bộ phận sử dụng dịch vụ lập Biên bản nghiệm thu (Mẫu 04) hoặc xác nhận trên báo cáo kết quả công việc.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Dịch vụ tư vấn, quảng cáo, đào tạo phải có sản phẩm bàn giao: báo cáo, hình ảnh, danh sách tham dự.</w:t>
      </w:r>
    </w:p>
    <w:p>
      <w:pPr>
        <w:keepNext/>
        <w:spacing w:after="80" w:before="160"/>
      </w:pPr>
      <w:r>
        <w:rPr>
          <w:rFonts w:ascii="Times New Roman" w:cs="Times New Roman" w:eastAsia="Times New Roman" w:hAnsi="Times New Roman"/>
          <w:b/>
          <w:bCs/>
          <w:sz w:val="26"/>
          <w:szCs w:val="26"/>
        </w:rPr>
        <w:t xml:space="preserve">Điều 11. Nhận và kiểm tra hóa đơn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tra cứu hóa đơn trên hệ thống của cơ quan thuế; kiểm tra tên, MST, địa chỉ, hàng hóa, đơn giá, thuế suất khớp đơn hàng.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Hóa đơn sai: yêu cầu NCC xử lý theo quy định về hóa đơn, không tự sửa trên sổ.</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Thời điểm lập hóa đơn của NCC phải phù hợp thời điểm giao hàng, hoàn thành dịch vụ.</w:t>
      </w:r>
    </w:p>
    <w:p>
      <w:pPr>
        <w:keepNext/>
        <w:spacing w:after="160" w:before="280"/>
        <w:jc w:val="center"/>
      </w:pPr>
      <w:r>
        <w:rPr>
          <w:rFonts w:ascii="Times New Roman" w:cs="Times New Roman" w:eastAsia="Times New Roman" w:hAnsi="Times New Roman"/>
          <w:b/>
          <w:bCs/>
          <w:color w:val="17365D"/>
          <w:sz w:val="27"/>
          <w:szCs w:val="27"/>
        </w:rPr>
        <w:t xml:space="preserve">CHƯƠNG IV. THANH TOÁN VÀ CÔNG NỢ</w:t>
      </w:r>
    </w:p>
    <w:p>
      <w:pPr>
        <w:keepNext/>
        <w:spacing w:after="80" w:before="160"/>
      </w:pPr>
      <w:r>
        <w:rPr>
          <w:rFonts w:ascii="Times New Roman" w:cs="Times New Roman" w:eastAsia="Times New Roman" w:hAnsi="Times New Roman"/>
          <w:b/>
          <w:bCs/>
          <w:sz w:val="26"/>
          <w:szCs w:val="26"/>
        </w:rPr>
        <w:t xml:space="preserve">Điều 12. Đối chiếu 3 chiều</w:t>
      </w:r>
    </w:p>
    <w:p>
      <w:pPr>
        <w:spacing w:after="100" w:before="0" w:line="300"/>
        <w:jc w:val="both"/>
      </w:pPr>
      <w:r>
        <w:rPr>
          <w:rFonts w:ascii="Times New Roman" w:cs="Times New Roman" w:eastAsia="Times New Roman" w:hAnsi="Times New Roman"/>
          <w:sz w:val="26"/>
          <w:szCs w:val="26"/>
        </w:rPr>
        <w:t xml:space="preserve">Kế toán chỉ thanh toán khi khớp 3 chứng từ:</w:t>
      </w:r>
    </w:p>
    <w:p>
      <w:pPr>
        <w:pStyle w:val="ListParagraph"/>
        <w:keepNext w:val="false"/>
        <w:numPr>
          <w:ilvl w:val="0"/>
          <w:numId w:val="4"/>
        </w:numPr>
        <w:spacing w:after="80" w:line="300"/>
        <w:jc w:val="both"/>
      </w:pPr>
      <w:r>
        <w:rPr>
          <w:rFonts w:ascii="Times New Roman" w:cs="Times New Roman" w:eastAsia="Times New Roman" w:hAnsi="Times New Roman"/>
          <w:sz w:val="26"/>
          <w:szCs w:val="26"/>
        </w:rPr>
        <w:t xml:space="preserve">Đơn đặt hàng/Hợp đồng đã phê duyệt;</w:t>
      </w:r>
    </w:p>
    <w:p>
      <w:pPr>
        <w:pStyle w:val="ListParagraph"/>
        <w:keepNext w:val="false"/>
        <w:numPr>
          <w:ilvl w:val="0"/>
          <w:numId w:val="4"/>
        </w:numPr>
        <w:spacing w:after="80" w:line="300"/>
        <w:jc w:val="both"/>
      </w:pPr>
      <w:r>
        <w:rPr>
          <w:rFonts w:ascii="Times New Roman" w:cs="Times New Roman" w:eastAsia="Times New Roman" w:hAnsi="Times New Roman"/>
          <w:sz w:val="26"/>
          <w:szCs w:val="26"/>
        </w:rPr>
        <w:t xml:space="preserve">Phiếu nhập kho hoặc Biên bản nghiệm thu;</w:t>
      </w:r>
    </w:p>
    <w:p>
      <w:pPr>
        <w:pStyle w:val="ListParagraph"/>
        <w:keepNext w:val="false"/>
        <w:numPr>
          <w:ilvl w:val="0"/>
          <w:numId w:val="4"/>
        </w:numPr>
        <w:spacing w:after="80" w:line="300"/>
        <w:jc w:val="both"/>
      </w:pPr>
      <w:r>
        <w:rPr>
          <w:rFonts w:ascii="Times New Roman" w:cs="Times New Roman" w:eastAsia="Times New Roman" w:hAnsi="Times New Roman"/>
          <w:sz w:val="26"/>
          <w:szCs w:val="26"/>
        </w:rPr>
        <w:t xml:space="preserve">Hóa đơn hợp lệ đã tra cứu.</w:t>
      </w:r>
    </w:p>
    <w:p>
      <w:pPr>
        <w:spacing w:after="100" w:before="0" w:line="300"/>
        <w:jc w:val="both"/>
      </w:pPr>
      <w:r>
        <w:rPr>
          <w:rFonts w:ascii="Times New Roman" w:cs="Times New Roman" w:eastAsia="Times New Roman" w:hAnsi="Times New Roman"/>
          <w:sz w:val="26"/>
          <w:szCs w:val="26"/>
        </w:rPr>
        <w:t xml:space="preserve">Chênh lệch số lượng, đơn giá: chỉ thanh toán phần khớp, phần chênh lệch xử lý bằng văn bản với NCC.</w:t>
      </w:r>
    </w:p>
    <w:p>
      <w:pPr>
        <w:keepNext/>
        <w:spacing w:after="80" w:before="160"/>
      </w:pPr>
      <w:r>
        <w:rPr>
          <w:rFonts w:ascii="Times New Roman" w:cs="Times New Roman" w:eastAsia="Times New Roman" w:hAnsi="Times New Roman"/>
          <w:b/>
          <w:bCs/>
          <w:sz w:val="26"/>
          <w:szCs w:val="26"/>
        </w:rPr>
        <w:t xml:space="preserve">Điều 13. Lập và duyệt thanh toán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thanh toán lập Đề nghị thanh toán kèm bộ hồ sơ theo Phụ lục 07, trình duyệt theo Ma trận phê duyệt.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Ủy nhiệm chi do Kế toán thanh toán lập, Kế toán trưởng duyệt cấp 1, Giám đốc hoặc người được ủy quyền duyệt cấp 2 trên ngân hàng điện tử.</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Sau thanh toán, chứng từ được đánh dấu "ĐÃ THANH TOÁN" để chống chi trùng.</w:t>
      </w:r>
    </w:p>
    <w:p>
      <w:pPr>
        <w:keepNext/>
        <w:spacing w:after="80" w:before="160"/>
      </w:pPr>
      <w:r>
        <w:rPr>
          <w:rFonts w:ascii="Times New Roman" w:cs="Times New Roman" w:eastAsia="Times New Roman" w:hAnsi="Times New Roman"/>
          <w:b/>
          <w:bCs/>
          <w:sz w:val="26"/>
          <w:szCs w:val="26"/>
        </w:rPr>
        <w:t xml:space="preserve">Điều 14. Tạm ứng, đặt cọc cho nhà cung cấp</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Đặt cọc, trả trước phải có hợp đồng ghi rõ điều kiện; theo dõi trên TK 331 (dư Nợ) hoặc TK 244.</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Quá [30] ngày chưa nhận hàng: Mua hàng báo cáo, Kế toán đề xuất thu hồi.</w:t>
      </w:r>
    </w:p>
    <w:p>
      <w:pPr>
        <w:keepNext/>
        <w:spacing w:after="80" w:before="160"/>
      </w:pPr>
      <w:r>
        <w:rPr>
          <w:rFonts w:ascii="Times New Roman" w:cs="Times New Roman" w:eastAsia="Times New Roman" w:hAnsi="Times New Roman"/>
          <w:b/>
          <w:bCs/>
          <w:sz w:val="26"/>
          <w:szCs w:val="26"/>
        </w:rPr>
        <w:t xml:space="preserve">Điều 15. Thay đổi thông tin thanh toán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NCC đề nghị đổi tài khoản phải gửi văn bản có chữ ký, dấu. Kế toán gọi lại số điện thoại đã đăng ký trên hợp đồng để xác minh, ghi biên bản xác minh trước khi cập nhật.</w:t>
      </w:r>
    </w:p>
    <w:p>
      <w:pPr>
        <w:keepNext/>
        <w:spacing w:after="80" w:before="160"/>
      </w:pPr>
      <w:r>
        <w:rPr>
          <w:rFonts w:ascii="Times New Roman" w:cs="Times New Roman" w:eastAsia="Times New Roman" w:hAnsi="Times New Roman"/>
          <w:b/>
          <w:bCs/>
          <w:sz w:val="26"/>
          <w:szCs w:val="26"/>
        </w:rPr>
        <w:t xml:space="preserve">Điều 16. Đối chiếu công nợ phải trả</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Hằng quý và cuối năm lập Biên bản đối chiếu công nợ với NCC có số dư.</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Công nợ phải trả không xác định được chủ nợ hoặc chủ nợ không đòi được xử lý theo quy định kế toán và thuế.</w:t>
      </w:r>
    </w:p>
    <w:p>
      <w:pPr>
        <w:keepNext/>
        <w:spacing w:after="160" w:before="280"/>
        <w:jc w:val="center"/>
      </w:pPr>
      <w:r>
        <w:rPr>
          <w:rFonts w:ascii="Times New Roman" w:cs="Times New Roman" w:eastAsia="Times New Roman" w:hAnsi="Times New Roman"/>
          <w:b/>
          <w:bCs/>
          <w:color w:val="17365D"/>
          <w:sz w:val="27"/>
          <w:szCs w:val="27"/>
        </w:rPr>
        <w:t xml:space="preserve">CHƯƠNG V. TỔ CHỨC THỰC HIỆN</w:t>
      </w:r>
    </w:p>
    <w:p>
      <w:pPr>
        <w:keepNext/>
        <w:spacing w:after="80" w:before="160"/>
      </w:pPr>
      <w:r>
        <w:rPr>
          <w:rFonts w:ascii="Times New Roman" w:cs="Times New Roman" w:eastAsia="Times New Roman" w:hAnsi="Times New Roman"/>
          <w:b/>
          <w:bCs/>
          <w:sz w:val="26"/>
          <w:szCs w:val="26"/>
        </w:rPr>
        <w:t xml:space="preserve">Điều 17. Lưu trữ hồ sơ</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Bộ hồ sơ mua hàng lưu theo từng chứng từ thanh toán, thời hạn theo Quy chế lưu trữ tài liệu kế toán (tối thiểu 10 năm đối với chứng từ ghi sổ).</w:t>
      </w:r>
    </w:p>
    <w:p>
      <w:pPr>
        <w:keepNext/>
        <w:spacing w:after="80" w:before="160"/>
      </w:pPr>
      <w:r>
        <w:rPr>
          <w:rFonts w:ascii="Times New Roman" w:cs="Times New Roman" w:eastAsia="Times New Roman" w:hAnsi="Times New Roman"/>
          <w:b/>
          <w:bCs/>
          <w:sz w:val="26"/>
          <w:szCs w:val="26"/>
        </w:rPr>
        <w:t xml:space="preserve">Điều 18. Xử lý vi phạm</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Mua hàng không qua quy trình, nhận hoa hồng, quà tặng từ NCC trái Quy tắc ứng xử bị xử lý kỷ luật và bồi thường thiệt hại.</w:t>
      </w:r>
    </w:p>
    <w:p>
      <w:pPr>
        <w:keepNext/>
        <w:spacing w:after="80" w:before="160"/>
      </w:pPr>
      <w:r>
        <w:rPr>
          <w:rFonts w:ascii="Times New Roman" w:cs="Times New Roman" w:eastAsia="Times New Roman" w:hAnsi="Times New Roman"/>
          <w:b/>
          <w:bCs/>
          <w:sz w:val="26"/>
          <w:szCs w:val="26"/>
        </w:rPr>
        <w:t xml:space="preserve">Điều 19. Hiệu lực</w:t>
      </w:r>
    </w:p>
    <w:p>
      <w:pPr>
        <w:pStyle w:val="ListParagraph"/>
        <w:keepNext/>
        <w:numPr>
          <w:ilvl w:val="0"/>
          <w:numId w:val="2"/>
        </w:numPr>
        <w:spacing w:after="80" w:line="300"/>
        <w:jc w:val="both"/>
      </w:pPr>
      <w:r>
        <w:rPr>
          <w:rFonts w:ascii="Times New Roman" w:cs="Times New Roman" w:eastAsia="Times New Roman" w:hAnsi="Times New Roman"/>
          <w:sz w:val="26"/>
          <w:szCs w:val="26"/>
        </w:rPr>
        <w:t xml:space="preserve">Quy trình có hiệu lực từ ngày ký Quyết định ban hành; rà soát hằng năm.</w:t>
      </w:r>
    </w:p>
    <w:p>
      <w:pPr>
        <w:keepNext/>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4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[CHỨC DANH]</w:t>
            </w:r>
          </w:p>
          <w:p>
            <w:pPr>
              <w:keepNext w:val="false"/>
              <w:spacing w:after="20"/>
              <w:jc w:val="left"/>
            </w:pPr>
            <w:r>
              <w:rPr>
                <w:rFonts w:ascii="Times New Roman" w:cs="Times New Roman" w:eastAsia="Times New Roman" w:hAnsi="Times New Roman"/>
                <w:b w:val="false"/>
                <w:bCs w:val="false"/>
                <w:sz w:val="23"/>
                <w:szCs w:val="23"/>
              </w:rPr>
              <w:t xml:space="preserve">(Ký, ghi rõ họ tên, đóng dấu)</w:t>
            </w:r>
          </w:p>
          <w:p>
            <w:pPr>
              <w:keepNext w:val="false"/>
              <w:spacing w:after="20"/>
              <w:jc w:val="left"/>
            </w:pPr>
          </w:p>
          <w:p>
            <w:pPr>
              <w:keepNext w:val="false"/>
              <w:spacing w:after="20"/>
              <w:jc w:val="left"/>
            </w:pPr>
          </w:p>
          <w:p>
            <w:pPr>
              <w:keepNext w:val="false"/>
              <w:spacing w:after="20"/>
              <w:jc w:val="left"/>
            </w:pPr>
            <w:r>
              <w:rPr>
                <w:rFonts w:ascii="Times New Roman" w:cs="Times New Roman" w:eastAsia="Times New Roman" w:hAnsi="Times New Roman"/>
                <w:b w:val="false"/>
                <w:bCs w:val="false"/>
                <w:sz w:val="23"/>
                <w:szCs w:val="23"/>
              </w:rPr>
              <w:t xml:space="preserve">[HỌ VÀ TÊN]</w:t>
            </w:r>
          </w:p>
        </w:tc>
      </w:tr>
    </w:tbl>
    <w:p>
      <w:pPr>
        <w:pageBreakBefore/>
        <w:spacing w:after="0" w:line="120"/>
      </w:pPr>
    </w:p>
    <w:p>
      <w:pPr>
        <w:spacing w:after="40" w:before="0" w:line="300"/>
        <w:jc w:val="center"/>
      </w:pPr>
      <w:r>
        <w:rPr>
          <w:rFonts w:ascii="Times New Roman" w:cs="Times New Roman" w:eastAsia="Times New Roman" w:hAnsi="Times New Roman"/>
          <w:b/>
          <w:bCs/>
          <w:color w:val="17365D"/>
          <w:sz w:val="28"/>
          <w:szCs w:val="28"/>
        </w:rPr>
        <w:t xml:space="preserve">PHỤ LỤC 01</w:t>
      </w:r>
    </w:p>
    <w:p>
      <w:pPr>
        <w:spacing w:after="160" w:before="0" w:line="300"/>
        <w:jc w:val="center"/>
      </w:pPr>
      <w:r>
        <w:rPr>
          <w:rFonts w:ascii="Times New Roman" w:cs="Times New Roman" w:eastAsia="Times New Roman" w:hAnsi="Times New Roman"/>
          <w:b/>
          <w:bCs/>
          <w:sz w:val="26"/>
          <w:szCs w:val="26"/>
        </w:rPr>
        <w:t xml:space="preserve">LƯU ĐỒ VÀ BẢNG NGƯỠNG TRA NHANH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900"/>
        <w:gridCol w:w="2071"/>
        <w:gridCol w:w="1700"/>
      </w:tblGrid>
      <w:tr>
        <w:trPr>
          <w:tblHeader/>
        </w:trPr>
        <w:tc>
          <w:tcPr>
            <w:tcW w:type="dxa" w:w="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Bước</w:t>
            </w:r>
          </w:p>
        </w:tc>
        <w:tc>
          <w:tcPr>
            <w:tcW w:type="dxa" w:w="2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Nội dung</w:t>
            </w:r>
          </w:p>
        </w:tc>
        <w:tc>
          <w:tcPr>
            <w:tcW w:type="dxa" w:w="1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Người thực hiện</w:t>
            </w:r>
          </w:p>
        </w:tc>
        <w:tc>
          <w:tcPr>
            <w:tcW w:type="dxa" w:w="20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Chứng từ</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Thời hạn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Lập đề nghị mua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Bộ phận có nhu cầu</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Mẫu 01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Kiểm tra ngân sách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Mẫu 01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01 ngày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Báo giá, so sánh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Mua hàng</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Mẫu 02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03 ngày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Phê duyệt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Theo ma trận</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Mẫu 01, 02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02 ngày/cấp</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Đặt hàng, ký hợp đồng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Mua hàng</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Mẫu 03 / HĐ</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Nhận hàng, nghiệm thu</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Kho / Bộ phận SD</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Phiếu nhập / Mẫu 04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Khi giao</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Kiểm tra hóa đơn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Hóa đơn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01 ngày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Đối chiếu 3 chiều, thanh toán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Đề nghị TT, UNC</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Theo lịch TT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Đối chiếu công nợ</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w:t>
            </w:r>
          </w:p>
        </w:tc>
        <w:tc>
          <w:tcPr>
            <w:tcW w:type="dxa" w:w="2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Biên bản đối chiếu</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Quý</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71"/>
      </w:tblGrid>
      <w:tr>
        <w:trPr>
          <w:tblHeader/>
        </w:trPr>
        <w:tc>
          <w:tcPr>
            <w:tcW w:type="dxa" w:w="2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Giá trị (đã có thuế GTGT)</w:t>
            </w:r>
          </w:p>
        </w:tc>
        <w:tc>
          <w:tcPr>
            <w:tcW w:type="dxa" w:w="2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Báo giá</w:t>
            </w:r>
          </w:p>
        </w:tc>
        <w:tc>
          <w:tcPr>
            <w:tcW w:type="dxa" w:w="2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Văn bản</w:t>
            </w:r>
          </w:p>
        </w:tc>
        <w:tc>
          <w:tcPr>
            <w:tcW w:type="dxa" w:w="22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Phê duyệt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Dưới 5 triệu đồng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Không bắt buộc</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Đơn hàng/hóa đơn</w:t>
            </w:r>
          </w:p>
        </w:tc>
        <w:tc>
          <w:tcPr>
            <w:tcW w:type="dxa" w:w="2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Trưởng bộ phận + KTT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5 – dưới 20 triệu đồng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Không bắt buộc</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Đơn hàng</w:t>
            </w:r>
          </w:p>
        </w:tc>
        <w:tc>
          <w:tcPr>
            <w:tcW w:type="dxa" w:w="2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Trưởng bộ phận + KTT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20 – dưới 100 triệu đồng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02 báo giá</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Đơn hàng/Hợp đồng</w:t>
            </w:r>
          </w:p>
        </w:tc>
        <w:tc>
          <w:tcPr>
            <w:tcW w:type="dxa" w:w="2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Giám đốc</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Từ 100 triệu đồng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03 báo giá + so sánh</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Hợp đồng</w:t>
            </w:r>
          </w:p>
        </w:tc>
        <w:tc>
          <w:tcPr>
            <w:tcW w:type="dxa" w:w="2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Giám đốc / cấp Điều lệ</w:t>
            </w:r>
          </w:p>
        </w:tc>
      </w:tr>
    </w:tbl>
    <w:p>
      <w:pPr>
        <w:spacing w:after="60"/>
      </w:pPr>
    </w:p>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02 – MẪU 01</w:t>
            </w:r>
          </w:p>
          <w:p>
            <w:pPr>
              <w:keepNext w:val="false"/>
              <w:spacing w:after="20"/>
              <w:jc w:val="left"/>
            </w:pPr>
            <w:r>
              <w:rPr>
                <w:rFonts w:ascii="Times New Roman" w:cs="Times New Roman" w:eastAsia="Times New Roman" w:hAnsi="Times New Roman"/>
                <w:b w:val="false"/>
                <w:bCs w:val="false"/>
                <w:sz w:val="22"/>
                <w:szCs w:val="22"/>
              </w:rPr>
              <w:t xml:space="preserve">(Ban hành kèm Quy trình mua hàng – thanh toán)</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PHIẾU ĐỀ NGHỊ MUA HÀNG</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Người đề nghị / Bộ phận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Mục đích sử dụng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Thời gian cần hàng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Trong ngân sách?  ☐ Có  ☐ Không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Mã chi phí / dự án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571"/>
        <w:gridCol w:w="800"/>
        <w:gridCol w:w="700"/>
        <w:gridCol w:w="1700"/>
        <w:gridCol w:w="1700"/>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35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Tên hàng, quy cách</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ĐVT</w:t>
            </w:r>
          </w:p>
        </w:tc>
        <w:tc>
          <w:tcPr>
            <w:tcW w:type="dxa" w:w="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Đơn giá dự kiến</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Thành tiền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đề nghị</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Trưởng bộ phận</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phê duyệt</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03 – MẪU 02</w:t>
            </w:r>
          </w:p>
          <w:p>
            <w:pPr>
              <w:keepNext w:val="false"/>
              <w:spacing w:after="20"/>
              <w:jc w:val="left"/>
            </w:pPr>
            <w:r>
              <w:rPr>
                <w:rFonts w:ascii="Times New Roman" w:cs="Times New Roman" w:eastAsia="Times New Roman" w:hAnsi="Times New Roman"/>
                <w:b w:val="false"/>
                <w:bCs w:val="false"/>
                <w:sz w:val="22"/>
                <w:szCs w:val="22"/>
              </w:rPr>
              <w:t xml:space="preserve">(Ban hành kèm Quy trình mua hàng – thanh toán)</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BẢNG SO SÁNH BÁO GIÁ</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71"/>
        <w:gridCol w:w="2100"/>
        <w:gridCol w:w="2100"/>
        <w:gridCol w:w="2100"/>
      </w:tblGrid>
      <w:tr>
        <w:trPr>
          <w:tblHeader/>
        </w:trPr>
        <w:tc>
          <w:tcPr>
            <w:tcW w:type="dxa" w:w="27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Tiêu chí</w:t>
            </w:r>
          </w:p>
        </w:tc>
        <w:tc>
          <w:tcPr>
            <w:tcW w:type="dxa" w:w="2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NCC 1</w:t>
            </w:r>
          </w:p>
        </w:tc>
        <w:tc>
          <w:tcPr>
            <w:tcW w:type="dxa" w:w="2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NCC 2</w:t>
            </w:r>
          </w:p>
        </w:tc>
        <w:tc>
          <w:tcPr>
            <w:tcW w:type="dxa" w:w="2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NCC 3</w:t>
            </w: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Tên, MST</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Trạng thái MST (đã kiểm tra)</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giá / Tổng giá</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Thời gian giao</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Bảo hành</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Điều kiện thanh toán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Đánh giá chất lượng</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Đề xuất chọn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b/>
          <w:bCs/>
          <w:sz w:val="26"/>
          <w:szCs w:val="26"/>
        </w:rPr>
        <w:t xml:space="preserve">Lý do lựa chọn (bắt buộc nếu không chọn giá thấp nhất):</w:t>
      </w:r>
      <w:r>
        <w:rPr>
          <w:rFonts w:ascii="Times New Roman" w:cs="Times New Roman" w:eastAsia="Times New Roman" w:hAnsi="Times New Roman"/>
          <w:sz w:val="26"/>
          <w:szCs w:val="26"/>
        </w:rPr>
        <w:t xml:space="preserve"> ...............................................................</w:t>
      </w: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Mua hàng</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phê duyệt</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04 – MẪU 03</w:t>
            </w:r>
          </w:p>
          <w:p>
            <w:pPr>
              <w:keepNext w:val="false"/>
              <w:spacing w:after="20"/>
              <w:jc w:val="left"/>
            </w:pPr>
            <w:r>
              <w:rPr>
                <w:rFonts w:ascii="Times New Roman" w:cs="Times New Roman" w:eastAsia="Times New Roman" w:hAnsi="Times New Roman"/>
                <w:b w:val="false"/>
                <w:bCs w:val="false"/>
                <w:sz w:val="22"/>
                <w:szCs w:val="22"/>
              </w:rPr>
              <w:t xml:space="preserve">(Ban hành kèm Quy trình mua hàng – thanh toán)</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ĐƠN ĐẶT HÀNG</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Kính gửi (NCC, MST)</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Địa điểm, thời gian giao hàng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Điều kiện thanh toán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Tài khoản thụ hưởng của NCC (số TK, ngân hàng, chủ TK)</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571"/>
        <w:gridCol w:w="800"/>
        <w:gridCol w:w="700"/>
        <w:gridCol w:w="1700"/>
        <w:gridCol w:w="1700"/>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35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Tên hàng, quy cách</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ĐVT</w:t>
            </w:r>
          </w:p>
        </w:tc>
        <w:tc>
          <w:tcPr>
            <w:tcW w:type="dxa" w:w="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Đơn giá</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Thành tiền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3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sz w:val="26"/>
          <w:szCs w:val="26"/>
        </w:rPr>
        <w:t xml:space="preserve">Hóa đơn ghi đúng: Tên Công ty: [..........]  MST: [..........]  Địa chỉ: [..........]</w:t>
      </w: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lập</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phê duyệt</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Xác nhận của NCC</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05 – MẪU 04</w:t>
            </w:r>
          </w:p>
          <w:p>
            <w:pPr>
              <w:keepNext w:val="false"/>
              <w:spacing w:after="20"/>
              <w:jc w:val="left"/>
            </w:pPr>
            <w:r>
              <w:rPr>
                <w:rFonts w:ascii="Times New Roman" w:cs="Times New Roman" w:eastAsia="Times New Roman" w:hAnsi="Times New Roman"/>
                <w:b w:val="false"/>
                <w:bCs w:val="false"/>
                <w:sz w:val="22"/>
                <w:szCs w:val="22"/>
              </w:rPr>
              <w:t xml:space="preserve">(Ban hành kèm Quy trình mua hàng – thanh toán)</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BIÊN BẢN NGHIỆM THU DỊCH VỤ</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Căn cứ Hợp đồng/Đơn hàng số</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Bên cung cấp dịch vụ</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Nội dung dịch vụ đã thực hiện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Thời gian thực hiện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Sản phẩm bàn giao (báo cáo, hình ảnh, file…)</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Kết luận: ☐ Đạt  ☐ Đạt có điều kiện  ☐ Không đạt</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Giá trị nghiệm thu</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cung cấp</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Bộ phận sử dụng</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06 – MẪU 05</w:t>
            </w:r>
          </w:p>
          <w:p>
            <w:pPr>
              <w:keepNext w:val="false"/>
              <w:spacing w:after="20"/>
              <w:jc w:val="left"/>
            </w:pPr>
            <w:r>
              <w:rPr>
                <w:rFonts w:ascii="Times New Roman" w:cs="Times New Roman" w:eastAsia="Times New Roman" w:hAnsi="Times New Roman"/>
                <w:b w:val="false"/>
                <w:bCs w:val="false"/>
                <w:sz w:val="22"/>
                <w:szCs w:val="22"/>
              </w:rPr>
              <w:t xml:space="preserve">(Ban hành kèm Quy trình mua hàng – thanh toán)</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PHIẾU ĐÁNH GIÁ NHÀ CUNG CẤP</w:t>
      </w:r>
    </w:p>
    <w:p>
      <w:pPr>
        <w:spacing w:after="100" w:before="0" w:line="300"/>
        <w:jc w:val="center"/>
      </w:pPr>
      <w:r>
        <w:rPr>
          <w:rFonts w:ascii="Times New Roman" w:cs="Times New Roman" w:eastAsia="Times New Roman" w:hAnsi="Times New Roman"/>
          <w:i/>
          <w:iCs/>
          <w:sz w:val="24"/>
          <w:szCs w:val="24"/>
        </w:rPr>
        <w:t xml:space="preserve">Đánh giá NCC mới hoặc định kỳ hằng năm</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Tên NCC, MST</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Hàng hóa/dịch vụ cung cấp</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Kỳ đánh giá</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71"/>
        <w:gridCol w:w="1500"/>
        <w:gridCol w:w="1700"/>
        <w:gridCol w:w="1800"/>
      </w:tblGrid>
      <w:tr>
        <w:trPr>
          <w:tblHeader/>
        </w:trPr>
        <w:tc>
          <w:tcPr>
            <w:tcW w:type="dxa" w:w="40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Tiêu chí</w:t>
            </w:r>
          </w:p>
        </w:tc>
        <w:tc>
          <w:tcPr>
            <w:tcW w:type="dxa" w:w="15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Trọng số</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Điểm (1–5)</w:t>
            </w:r>
          </w:p>
        </w:tc>
        <w:tc>
          <w:tcPr>
            <w:tcW w:type="dxa" w:w="1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Điểm có trọng số</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Pháp lý: MST hoạt động, hóa đơn đúng hạn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Chất lượng hàng hóa, dịch vụ</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30%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Giao hàng đúng hạn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Giá cả cạnh tranh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Hỗ trợ, bảo hành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4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Tổng</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100%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bl>
    <w:p>
      <w:pPr>
        <w:spacing w:after="60"/>
      </w:pPr>
    </w:p>
    <w:p>
      <w:pPr>
        <w:spacing w:after="100" w:before="0" w:line="300"/>
        <w:jc w:val="both"/>
      </w:pPr>
      <w:r>
        <w:rPr>
          <w:rFonts w:ascii="Times New Roman" w:cs="Times New Roman" w:eastAsia="Times New Roman" w:hAnsi="Times New Roman"/>
          <w:i/>
          <w:iCs/>
          <w:sz w:val="26"/>
          <w:szCs w:val="26"/>
        </w:rPr>
        <w:t xml:space="preserve">Xếp loại: A ≥ 4,5 – B 3,5 đến dưới 4,5 – C 2,5 đến dưới 3,5 – D dưới 2,5 (loại khỏi danh sách).</w:t>
      </w: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Mua hàng</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Bộ phận sử dụng</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phê duyệt</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p>
      <w:pPr>
        <w:spacing w:after="40" w:before="0" w:line="300"/>
        <w:jc w:val="center"/>
      </w:pPr>
      <w:r>
        <w:rPr>
          <w:rFonts w:ascii="Times New Roman" w:cs="Times New Roman" w:eastAsia="Times New Roman" w:hAnsi="Times New Roman"/>
          <w:b/>
          <w:bCs/>
          <w:color w:val="17365D"/>
          <w:sz w:val="28"/>
          <w:szCs w:val="28"/>
        </w:rPr>
        <w:t xml:space="preserve">PHỤ LỤC 07</w:t>
      </w:r>
    </w:p>
    <w:p>
      <w:pPr>
        <w:spacing w:after="160" w:before="0" w:line="300"/>
        <w:jc w:val="center"/>
      </w:pPr>
      <w:r>
        <w:rPr>
          <w:rFonts w:ascii="Times New Roman" w:cs="Times New Roman" w:eastAsia="Times New Roman" w:hAnsi="Times New Roman"/>
          <w:b/>
          <w:bCs/>
          <w:sz w:val="26"/>
          <w:szCs w:val="26"/>
        </w:rPr>
        <w:t xml:space="preserve">CHECKLIST HỒ SƠ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471"/>
        <w:gridCol w:w="1000"/>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STT</w:t>
            </w:r>
          </w:p>
        </w:tc>
        <w:tc>
          <w:tcPr>
            <w:tcW w:type="dxa" w:w="4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Chứng từ</w:t>
            </w:r>
          </w:p>
        </w:tc>
        <w:tc>
          <w:tcPr>
            <w:tcW w:type="dxa" w:w="34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Bắt buộc khi</w:t>
            </w:r>
          </w:p>
        </w:tc>
        <w:tc>
          <w:tcPr>
            <w:tcW w:type="dxa" w:w="1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1</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Phiếu đề nghị mua đã duyệt</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Mọi giao dịch ngoài kế hoạch định kỳ</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2</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Báo giá, Bảng so sánh</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Từ 20 triệu đồng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3</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Đơn đặt hàng / Hợp đồng</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Từ 20 triệu đồng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4</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Phiếu nhập kho / Biên bản nghiệm thu</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Mọi giao dịch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5</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Hóa đơn đã tra cứu hợp lệ</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Mọi giao dịch có hóa đơn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6</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Kết quả tra cứu trạng thái MST NCC</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NCC mới, giao dịch từ 20 triệu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7</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Đề nghị thanh toán đã duyệt</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Mọi giao dịch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8</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Ủy nhiệm chi / Sao kê ngân hàng</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Hóa đơn từ 5 triệu đồng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9</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Biên bản đối chiếu công nợ</w:t>
            </w:r>
          </w:p>
        </w:tc>
        <w:tc>
          <w:tcPr>
            <w:tcW w:type="dxa" w:w="3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NCC có số dư cuối quý</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bl>
    <w:p>
      <w:pPr>
        <w:spacing w:after="60"/>
      </w:pPr>
    </w:p>
    <w:p>
      <w:pPr>
        <w:spacing w:after="60"/>
      </w:pPr>
    </w:p>
    <w:p>
      <w:pPr>
        <w:spacing w:after="100" w:before="0" w:line="300"/>
        <w:jc w:val="center"/>
      </w:pPr>
      <w:r>
        <w:rPr>
          <w:rFonts w:ascii="Times New Roman" w:cs="Times New Roman" w:eastAsia="Times New Roman" w:hAnsi="Times New Roman"/>
          <w:i/>
          <w:iCs/>
          <w:sz w:val="26"/>
          <w:szCs w:val="26"/>
        </w:rPr>
        <w:t xml:space="preserve">— Hết —</w:t>
      </w:r>
    </w:p>
    <w:p>
      <w:pPr>
        <w:spacing w:after="60"/>
      </w:pPr>
    </w:p>
    <w:p>
      <w:pPr>
        <w:spacing w:after="100" w:before="0" w:line="300"/>
        <w:jc w:val="center"/>
      </w:pPr>
      <w:r>
        <w:t>Tài liệu quản trị nội bộ KK HOME</w:t>
      </w:r>
    </w:p>
    <w:p>
      <w:pPr>
        <w:spacing w:after="100" w:before="0" w:line="300"/>
        <w:jc w:val="center"/>
      </w:pPr>
      <w:r>
        <w:rPr>
          <w:rFonts w:ascii="Times New Roman" w:cs="Times New Roman" w:eastAsia="Times New Roman" w:hAnsi="Times New Roman"/>
          <w:i/>
          <w:iCs/>
          <w:sz w:val="22"/>
          <w:szCs w:val="22"/>
        </w:rPr>
        <w:t xml:space="preserve">Bạn được tự do sử dụng, chỉnh sửa cho doanh nghiệp của mình. Vui lòng giữ nguồn khi chia sẻ lại.</w:t>
      </w:r>
    </w:p>
    <w:sectPr>
      <w:headerReference w:type="default" r:id="rId7"/>
      <w:footerReference w:type="default" r:id="rId8"/>
      <w:pgSz w:w="11906" w:h="16838" w:orient="portrait"/>
      <w:pgMar w:top="1134" w:right="1134" w:bottom="1134" w:left="1701"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KK HOME —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365D" w:sz="4" w:space="2"/>
      </w:pBdr>
      <w:jc w:val="right"/>
    </w:pPr>
    <w:r>
      <w:t>KK HOME — QUẢN TRỊ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abstractNum w:abstractNumId="3" w15:restartNumberingAfterBreak="0">
    <w:multiLevelType w:val="hybridMultilevel"/>
    <w:lvl w:ilvl="0" w15:tentative="1">
      <w:start w:val="1"/>
      <w:numFmt w:val="decimal"/>
      <w:lvlText w:val="%1."/>
      <w:lvlJc w:val="left"/>
      <w:pPr>
        <w:ind w:left="400" w:hanging="340"/>
      </w:pPr>
    </w:lvl>
  </w:abstractNum>
  <w:abstractNum w:abstractNumId="4" w15:restartNumberingAfterBreak="0">
    <w:multiLevelType w:val="hybridMultilevel"/>
    <w:lvl w:ilvl="0" w15: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MUA HÀNG – THANH TOÁN NHÀ CUNG CẤP</dc:title>
  <dc:creator>Mr Wick Kiểm toán</dc:creator>
  <cp:lastModifiedBy>Un-named</cp:lastModifiedBy>
  <cp:revision>1</cp:revision>
  <dcterms:created xsi:type="dcterms:W3CDTF">2026-10-07T08:24:34.159Z</dcterms:created>
  <dcterms:modified xsi:type="dcterms:W3CDTF">2026-10-07T08:24:34.159Z</dcterms:modified>
</cp:coreProperties>
</file>

<file path=docProps/custom.xml><?xml version="1.0" encoding="utf-8"?>
<Properties xmlns="http://schemas.openxmlformats.org/officeDocument/2006/custom-properties" xmlns:vt="http://schemas.openxmlformats.org/officeDocument/2006/docPropsVTypes"/>
</file>