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300"/>
        <w:jc w:val="center"/>
      </w:pPr>
      <w:r>
        <w:rPr>
          <w:rFonts w:ascii="Times New Roman" w:cs="Times New Roman" w:eastAsia="Times New Roman" w:hAnsi="Times New Roman"/>
          <w:b/>
          <w:bCs/>
          <w:color w:val="17365D"/>
          <w:sz w:val="34"/>
          <w:szCs w:val="34"/>
        </w:rPr>
        <w:t xml:space="preserve">HỢP ĐỒNG LAO ĐỘNG</w:t>
      </w:r>
    </w:p>
    <w:p>
      <w:pPr>
        <w:spacing w:after="40" w:before="0" w:line="300"/>
        <w:jc w:val="center"/>
      </w:pPr>
      <w:r>
        <w:rPr>
          <w:rFonts w:ascii="Times New Roman" w:cs="Times New Roman" w:eastAsia="Times New Roman" w:hAnsi="Times New Roman"/>
          <w:b/>
          <w:bCs/>
          <w:color w:val="17365D"/>
          <w:sz w:val="34"/>
          <w:szCs w:val="34"/>
        </w:rPr>
        <w:t xml:space="preserve">VỚI NGƯỜI ĐANG HƯỞNG LƯƠNG HƯU 2026</w:t>
      </w:r>
    </w:p>
    <w:p>
      <w:pPr>
        <w:spacing w:after="60"/>
      </w:pPr>
    </w:p>
    <w:p>
      <w:pPr>
        <w:spacing w:after="100" w:before="0" w:line="300"/>
        <w:jc w:val="center"/>
      </w:pPr>
      <w:r>
        <w:rPr>
          <w:rFonts w:ascii="Times New Roman" w:cs="Times New Roman" w:eastAsia="Times New Roman" w:hAnsi="Times New Roman"/>
          <w:i/>
          <w:iCs/>
          <w:sz w:val="26"/>
          <w:szCs w:val="26"/>
        </w:rPr>
        <w:t xml:space="preserve">Người lao động cao tuổi tiếp tục làm việc sau khi nghỉ hưu</w:t>
      </w:r>
    </w:p>
    <w:p>
      <w:pPr>
        <w:spacing w:after="100" w:before="0" w:line="300"/>
        <w:jc w:val="center"/>
      </w:pPr>
      <w:r>
        <w:rPr>
          <w:rFonts w:ascii="Times New Roman" w:cs="Times New Roman" w:eastAsia="Times New Roman" w:hAnsi="Times New Roman"/>
          <w:i/>
          <w:iCs/>
          <w:sz w:val="26"/>
          <w:szCs w:val="26"/>
        </w:rPr>
        <w:t xml:space="preserve">Không đóng BHXH bắt buộc – trả thêm khoản tương đương mức đóng – khấu trừ thuế TNCN</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Thông tin</w:t>
            </w:r>
          </w:p>
        </w:tc>
        <w:tc>
          <w:tcPr>
            <w:tcW w:type="dxa" w:w="64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Nội dung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Đơn vị áp dụng</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[TÊN DOANH NGHIỆP]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Trụ sở</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[TỈNH/THÀNH PHỐ]</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Phiên bản</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08/10/2026</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Đơn vị biên soạn</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t>KK HOME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Phạm vi</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Giao kết HĐLĐ với người lao động cao tuổi đang hưởng lương hưu; tiền lương; khoản trả thêm thay BHXH, BHYT, BHTN; thuế TNCN; an toàn, sức khỏe; chấm dứt hợp đồng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Thành phần bộ mẫu</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Hướng dẫn sử dụng – Hợp đồng lao động 14 điều – Bản khai tình trạng hưởng lương hưu – Bảng tính tiền lương và khoản trả thêm – Phụ lục gia hạn hợp đồng – Checklist hồ sơ</w:t>
            </w:r>
          </w:p>
        </w:tc>
      </w:tr>
    </w:tbl>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PHẠM VI SỬ DỤNG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Người lao động cao tuổi là người tiếp tục lao động sau độ tuổi nghỉ hưu (Điều 148 Bộ luật Lao động). Hai bên có thể thỏa thuận giao kết nhiều lần hợp đồng lao động xác định thời hạn; người đang hưởng lương hưu làm việc theo HĐLĐ mới thì ngoài quyền lợi hưu trí còn được hưởng tiền lương và quyền lợi theo hợp đồng (Điều 149 Bộ luật Lao động).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Người đang hưởng lương hưu không thuộc đối tượng tham gia BHXH bắt buộc (khoản 7 Điều 2 Luật BHXH 2024, hiệu lực 01/7/2025). Công ty không đóng BHXH bắt buộc, BHTN cho người lao động này.</w:t>
      </w:r>
    </w:p>
    <w:p>
      <w:pPr>
        <w:pStyle w:val="ListParagraph"/>
        <w:numPr>
          <w:ilvl w:val="0"/>
          <w:numId w:val="2"/>
        </w:numPr>
        <w:spacing w:after="80" w:line="300"/>
        <w:jc w:val="both"/>
      </w:pPr>
      <w:r>
        <w:rPr>
          <w:rFonts w:ascii="Times New Roman" w:cs="Times New Roman" w:eastAsia="Times New Roman" w:hAnsi="Times New Roman"/>
          <w:sz w:val="26"/>
          <w:szCs w:val="26"/>
        </w:rPr>
        <w:t xml:space="preserve">Đối với người lao động không thuộc diện tham gia BHXH, BHYT, BHTN bắt buộc, người sử dụng lao động trả thêm cùng kỳ trả lương một khoản tiền tương đương mức người sử dụng lao động đóng các loại bảo hiểm đó (khoản 3 Điều 168 Bộ luật Lao động). Cách hiểu phổ biến hiện nay tính khoản này là 21,5% tiền lương (14% hưu trí – tử tuất, 3% ốm đau – thai sản, 0,5% TNLĐ – BNN, 1% BHTN, 3% BHYT). Bạn nên xác nhận với cơ quan BHXH quản lý trước khi chốt tỷ lệ.</w:t>
      </w:r>
    </w:p>
    <w:p>
      <w:pPr>
        <w:pStyle w:val="ListParagraph"/>
        <w:numPr>
          <w:ilvl w:val="0"/>
          <w:numId w:val="2"/>
        </w:numPr>
        <w:spacing w:after="80" w:line="300"/>
        <w:jc w:val="both"/>
      </w:pPr>
      <w:r>
        <w:rPr>
          <w:rFonts w:ascii="Times New Roman" w:cs="Times New Roman" w:eastAsia="Times New Roman" w:hAnsi="Times New Roman"/>
          <w:sz w:val="26"/>
          <w:szCs w:val="26"/>
        </w:rPr>
        <w:t xml:space="preserve">Người lao động đủ điều kiện hưởng lương hưu không thuộc trường hợp được trợ cấp thôi việc khi chấm dứt hợp đồng (Điều 46 Bộ luật Lao động).</w:t>
      </w:r>
    </w:p>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CÁC THÔNG SỐ ĐÃ ĐIỀN SẴN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900"/>
        <w:gridCol w:w="3171"/>
      </w:tblGrid>
      <w:tr>
        <w:trPr>
          <w:tblHeader/>
        </w:trPr>
        <w:tc>
          <w:tcPr>
            <w:tcW w:type="dxa" w:w="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STT</w:t>
            </w:r>
          </w:p>
        </w:tc>
        <w:tc>
          <w:tcPr>
            <w:tcW w:type="dxa" w:w="24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Nội dung</w:t>
            </w:r>
          </w:p>
        </w:tc>
        <w:tc>
          <w:tcPr>
            <w:tcW w:type="dxa" w:w="2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Mức đề xuất</w:t>
            </w:r>
          </w:p>
        </w:tc>
        <w:tc>
          <w:tcPr>
            <w:tcW w:type="dxa" w:w="31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Ghi chú</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1</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Loại hợp đồng</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HĐLĐ xác định thời hạn [12] tháng</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Không quá 36 tháng; được giao kết nhiều lần.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2</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Thời giờ làm việc</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[08] giờ/ngày hoặc thỏa thuận rút ngắn, không trọn thời gian</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Điều 148 Bộ luật Lao động.</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3</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Khoản trả thêm thay bảo hiểm</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[21,5]% tiền lương làm căn cứ</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Trả cùng kỳ lương; ghi rõ trong HĐLĐ.</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4</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Khám sức khỏe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Trước khi làm việc và [01] lần/năm</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Bố trí công việc phù hợp sức khỏe.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5</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Thời hạn báo trước khi chấm dứt</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Theo loại hợp đồng tại Điều 35, 36 Bộ luật Lao động</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HĐLĐ 12–36 tháng: ít nhất 30 ngày.</w:t>
            </w:r>
          </w:p>
        </w:tc>
      </w:tr>
    </w:tbl>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ĐÁNH GIÁ RỦI RO TRỰC TIẾP</w:t>
      </w:r>
    </w:p>
    <w:p>
      <w:pPr>
        <w:spacing w:after="100" w:before="0" w:line="300"/>
        <w:jc w:val="both"/>
      </w:pPr>
      <w:r>
        <w:rPr>
          <w:rFonts w:ascii="Times New Roman" w:cs="Times New Roman" w:eastAsia="Times New Roman" w:hAnsi="Times New Roman"/>
          <w:i/>
          <w:iCs/>
          <w:sz w:val="26"/>
          <w:szCs w:val="26"/>
        </w:rPr>
        <w:t xml:space="preserve">Các điểm doanh nghiệp hay làm sai khi sử dụng người đang hưởng lương hưu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950"/>
        <w:gridCol w:w="3171"/>
        <w:gridCol w:w="2800"/>
      </w:tblGrid>
      <w:tr>
        <w:trPr>
          <w:tblHeader/>
        </w:trPr>
        <w:tc>
          <w:tcPr>
            <w:tcW w:type="dxa" w:w="45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STT</w:t>
            </w:r>
          </w:p>
        </w:tc>
        <w:tc>
          <w:tcPr>
            <w:tcW w:type="dxa" w:w="1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Khoản mục</w:t>
            </w:r>
          </w:p>
        </w:tc>
        <w:tc>
          <w:tcPr>
            <w:tcW w:type="dxa" w:w="95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Rủi ro</w:t>
            </w:r>
          </w:p>
        </w:tc>
        <w:tc>
          <w:tcPr>
            <w:tcW w:type="dxa" w:w="31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Nhận định</w:t>
            </w:r>
          </w:p>
        </w:tc>
        <w:tc>
          <w:tcPr>
            <w:tcW w:type="dxa" w:w="28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Biện pháp kiểm soát</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Không ký HĐLĐ, chỉ ký hợp đồng dịch vụ/cộng tác</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Cao</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Quan hệ có trả lương, có quản lý, điều hành vẫn được xác định là quan hệ lao động; rủi ro tranh chấp, xử phạt.</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Ký HĐLĐ theo mẫu này khi người lao động làm việc thường xuyên dưới sự quản lý của Công ty.</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Không trả khoản tương đương mức đóng bảo hiểm</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Cao</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Vi phạm khoản 3 Điều 168 Bộ luật Lao động; người lao động có quyền khiếu nại.</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Ghi tỷ lệ trong Điều 5 HĐLĐ; tách dòng riêng trên bảng lương.</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Vẫn báo tăng, đóng BHXH bắt buộc</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Trung bình</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Đóng không đúng đối tượng, phải làm thủ tục thoái thu.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Lưu bản sao quyết định hưởng lương hưu trong hồ sơ; không báo tăng BHXH, BHTN.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4</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Không khấu trừ thuế TNCN</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Trung bình</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Tiền lương theo HĐLĐ và khoản trả thêm là thu nhập từ tiền lương, tiền công; lương hưu thì không chịu thuế.</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Khấu trừ theo loại hợp đồng; đưa vào quyết toán TNCN.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5</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Bố trí công việc nặng nhọc, độc hại không phù hợp sức khỏe</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Cao</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Rủi ro tai nạn lao động; người lao động không có bảo hiểm TNLĐ – BNN, Công ty tự chi trả theo Luật An toàn, vệ sinh lao động.</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Khám sức khỏe trước khi làm việc; mô tả công việc rõ; điều kiện an toàn.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6</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Chi trợ cấp thôi việc khi kết thúc hợp đồng</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Thấp</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Không thuộc diện hưởng theo Điều 46; khoản chi không có căn cứ có thể bị xem xét khi quyết toán thuế TNDN.</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Chỉ chi hỗ trợ khi có quy chế hoặc thỏa thuận rõ.</w:t>
            </w:r>
          </w:p>
        </w:tc>
      </w:tr>
    </w:tbl>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KHUYẾN NGHỊ TRIỂN KHAI</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Thu bản sao quyết định hưởng lương hưu hoặc xác nhận của cơ quan BHXH trước khi ký hợp đồng (Mẫu 01).</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Thêm dòng "Khoản trả thêm theo Điều 168 BLLĐ" trên bảng lương W1_NS02 để tách khỏi lương cơ bản.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Đặt lịch nhắc gia hạn trước khi hợp đồng hết hạn [30] ngày; mỗi lần gia hạn ký Phụ lục/HĐLĐ mới (Mẫu 02).</w:t>
      </w:r>
    </w:p>
    <w:p>
      <w:pPr>
        <w:pStyle w:val="ListParagraph"/>
        <w:numPr>
          <w:ilvl w:val="0"/>
          <w:numId w:val="2"/>
        </w:numPr>
        <w:spacing w:after="80" w:line="300"/>
        <w:jc w:val="both"/>
      </w:pPr>
      <w:r>
        <w:rPr>
          <w:rFonts w:ascii="Times New Roman" w:cs="Times New Roman" w:eastAsia="Times New Roman" w:hAnsi="Times New Roman"/>
          <w:sz w:val="26"/>
          <w:szCs w:val="26"/>
        </w:rPr>
        <w:t xml:space="preserve">Ghi vào Sổ quản lý lao động: người lao động cao tuổi, đang hưởng lương hưu.</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3"/>
                <w:szCs w:val="23"/>
              </w:rPr>
              <w:t xml:space="preserve">Lưu ý phản biện:</w:t>
            </w:r>
            <w:r>
              <w:rPr>
                <w:rFonts w:ascii="Times New Roman" w:cs="Times New Roman" w:eastAsia="Times New Roman" w:hAnsi="Times New Roman"/>
                <w:b w:val="false"/>
                <w:bCs w:val="false"/>
                <w:sz w:val="23"/>
                <w:szCs w:val="23"/>
              </w:rPr>
              <w:t xml:space="preserve"> Người đã nghỉ hưu thường là người có kinh nghiệm nhất trong doanh nghiệp nhỏ. Sai lầm hay gặp là coi họ như "người làm thêm" rồi bỏ qua hợp đồng, khoản trả thêm và an toàn lao động. Một hợp đồng rõ ràng giữ được người giỏi và giữ cho doanh nghiệp không phát sinh nợ bảo hiểm, nợ thuế.</w:t>
            </w:r>
          </w:p>
        </w:tc>
      </w:tr>
    </w:tbl>
    <w:p>
      <w:pPr>
        <w:pageBreakBefore/>
        <w:spacing w:after="0" w:line="120"/>
      </w:pPr>
    </w:p>
    <w:p>
      <w:pPr>
        <w:spacing w:after="20" w:before="0" w:line="300"/>
        <w:jc w:val="center"/>
      </w:pPr>
      <w:r>
        <w:rPr>
          <w:rFonts w:ascii="Times New Roman" w:cs="Times New Roman" w:eastAsia="Times New Roman" w:hAnsi="Times New Roman"/>
          <w:b/>
          <w:bCs/>
          <w:sz w:val="26"/>
          <w:szCs w:val="26"/>
        </w:rPr>
        <w:t xml:space="preserve">CỘNG HÒA XÃ HỘI CHỦ NGHĨA VIỆT NAM</w:t>
      </w:r>
    </w:p>
    <w:p>
      <w:pPr>
        <w:spacing w:after="200" w:before="0" w:line="300"/>
        <w:jc w:val="center"/>
      </w:pPr>
      <w:r>
        <w:rPr>
          <w:rFonts w:ascii="Times New Roman" w:cs="Times New Roman" w:eastAsia="Times New Roman" w:hAnsi="Times New Roman"/>
          <w:b/>
          <w:bCs/>
          <w:sz w:val="26"/>
          <w:szCs w:val="26"/>
        </w:rPr>
        <w:t xml:space="preserve">Độc lập - Tự do - Hạnh phúc</w:t>
      </w:r>
    </w:p>
    <w:p>
      <w:pPr>
        <w:spacing w:after="40" w:before="0" w:line="300"/>
        <w:jc w:val="center"/>
      </w:pPr>
      <w:r>
        <w:rPr>
          <w:rFonts w:ascii="Times New Roman" w:cs="Times New Roman" w:eastAsia="Times New Roman" w:hAnsi="Times New Roman"/>
          <w:b/>
          <w:bCs/>
          <w:color w:val="17365D"/>
          <w:sz w:val="30"/>
          <w:szCs w:val="30"/>
        </w:rPr>
        <w:t xml:space="preserve">HỢP ĐỒNG LAO ĐỘNG</w:t>
      </w:r>
    </w:p>
    <w:p>
      <w:pPr>
        <w:spacing w:after="100" w:before="0" w:line="300"/>
        <w:jc w:val="center"/>
      </w:pPr>
      <w:r>
        <w:rPr>
          <w:rFonts w:ascii="Times New Roman" w:cs="Times New Roman" w:eastAsia="Times New Roman" w:hAnsi="Times New Roman"/>
          <w:sz w:val="26"/>
          <w:szCs w:val="26"/>
        </w:rPr>
        <w:t xml:space="preserve">Số: [......]/2026/HĐLĐ-[MÃ DN]</w:t>
      </w:r>
    </w:p>
    <w:p>
      <w:pPr>
        <w:spacing w:after="40" w:before="0" w:line="300"/>
        <w:jc w:val="both"/>
      </w:pPr>
      <w:r>
        <w:rPr>
          <w:rFonts w:ascii="Times New Roman" w:cs="Times New Roman" w:eastAsia="Times New Roman" w:hAnsi="Times New Roman"/>
          <w:i/>
          <w:iCs/>
          <w:sz w:val="24"/>
          <w:szCs w:val="24"/>
        </w:rPr>
        <w:t xml:space="preserve">Căn cứ Bộ luật Lao động số 45/2019/QH14 ngày 20/11/2019 và Nghị định số 145/2020/NĐ-CP ngày 14/12/2020 của Chính phủ;</w:t>
      </w:r>
    </w:p>
    <w:p>
      <w:pPr>
        <w:spacing w:after="40" w:before="0" w:line="300"/>
        <w:jc w:val="both"/>
      </w:pPr>
      <w:r>
        <w:rPr>
          <w:rFonts w:ascii="Times New Roman" w:cs="Times New Roman" w:eastAsia="Times New Roman" w:hAnsi="Times New Roman"/>
          <w:i/>
          <w:iCs/>
          <w:sz w:val="24"/>
          <w:szCs w:val="24"/>
        </w:rPr>
        <w:t xml:space="preserve">Căn cứ Luật Bảo hiểm xã hội số 41/2024/QH15 ngày 29/6/2024; Luật An toàn, vệ sinh lao động số 84/2015/QH13 ngày 25/6/2015;</w:t>
      </w:r>
    </w:p>
    <w:p>
      <w:pPr>
        <w:spacing w:after="120" w:before="0" w:line="300"/>
        <w:jc w:val="both"/>
      </w:pPr>
      <w:r>
        <w:rPr>
          <w:rFonts w:ascii="Times New Roman" w:cs="Times New Roman" w:eastAsia="Times New Roman" w:hAnsi="Times New Roman"/>
          <w:i/>
          <w:iCs/>
          <w:sz w:val="24"/>
          <w:szCs w:val="24"/>
        </w:rPr>
        <w:t xml:space="preserve">Căn cứ Nội quy lao động, Quy chế lương thưởng của Công ty và nhu cầu, khả năng của hai bên,</w:t>
      </w:r>
    </w:p>
    <w:p>
      <w:pPr>
        <w:spacing w:after="100" w:before="0" w:line="300"/>
        <w:jc w:val="both"/>
      </w:pPr>
      <w:r>
        <w:rPr>
          <w:rFonts w:ascii="Times New Roman" w:cs="Times New Roman" w:eastAsia="Times New Roman" w:hAnsi="Times New Roman"/>
          <w:sz w:val="26"/>
          <w:szCs w:val="26"/>
        </w:rPr>
        <w:t xml:space="preserve">Hôm nay, ngày ...... tháng ...... năm 2026, tại [ĐỊA CHỈ], chúng tôi gồm:</w:t>
      </w:r>
    </w:p>
    <w:p>
      <w:pPr>
        <w:keepNext/>
        <w:spacing w:after="100" w:before="120" w:line="300"/>
        <w:jc w:val="both"/>
      </w:pPr>
      <w:r>
        <w:rPr>
          <w:rFonts w:ascii="Times New Roman" w:cs="Times New Roman" w:eastAsia="Times New Roman" w:hAnsi="Times New Roman"/>
          <w:b/>
          <w:bCs/>
          <w:sz w:val="26"/>
          <w:szCs w:val="26"/>
        </w:rPr>
        <w:t xml:space="preserve">BÊN A – NGƯỜI SỬ DỤNG LAO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Tên doanh nghiệp</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Mã số doanh nghiệp/MST</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Địa chỉ trụ sở</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Người đại diện (họ tên, chức vụ)</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Giấy ủy quyền số (nếu có)</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Điện thoại, email</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p>
      <w:pPr>
        <w:keepNext/>
        <w:spacing w:after="100" w:before="120" w:line="300"/>
        <w:jc w:val="both"/>
      </w:pPr>
      <w:r>
        <w:rPr>
          <w:rFonts w:ascii="Times New Roman" w:cs="Times New Roman" w:eastAsia="Times New Roman" w:hAnsi="Times New Roman"/>
          <w:b/>
          <w:bCs/>
          <w:sz w:val="26"/>
          <w:szCs w:val="26"/>
        </w:rPr>
        <w:t xml:space="preserve">BÊN B – NGƯỜI LAO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Họ và tên, giới tính</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Ngày sinh</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Số CCCD, ngày cấp, nơi cấp</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Địa chỉ thường trú / nơi ở hiện tại</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Mã số thuế cá nhân</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Mã số BHXH</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Quyết định hưởng lương hưu số, ngày, cơ quan ban hành</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Trình độ, chuyên môn</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Số tài khoản ngân hàng nhận lương</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p>
      <w:pPr>
        <w:spacing w:after="100" w:before="0" w:line="300"/>
        <w:jc w:val="both"/>
      </w:pPr>
      <w:r>
        <w:rPr>
          <w:rFonts w:ascii="Times New Roman" w:cs="Times New Roman" w:eastAsia="Times New Roman" w:hAnsi="Times New Roman"/>
          <w:sz w:val="26"/>
          <w:szCs w:val="26"/>
        </w:rPr>
        <w:t xml:space="preserve">Hai bên thỏa thuận ký kết hợp đồng lao động với các điều khoản sau:</w:t>
      </w:r>
    </w:p>
    <w:p>
      <w:pPr>
        <w:keepNext/>
        <w:spacing w:after="80" w:before="160"/>
      </w:pPr>
      <w:r>
        <w:rPr>
          <w:rFonts w:ascii="Times New Roman" w:cs="Times New Roman" w:eastAsia="Times New Roman" w:hAnsi="Times New Roman"/>
          <w:b/>
          <w:bCs/>
          <w:sz w:val="26"/>
          <w:szCs w:val="26"/>
        </w:rPr>
        <w:t xml:space="preserve">Điều 1. Công việc, chức danh và địa điểm làm việc</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Chức danh: [..........]; bộ phận: [..........].</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Công việc phải làm: theo Bản mô tả công việc kèm theo, gồm [..........].</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Địa điểm làm việc: [..........].</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Bên A không bố trí Bên B làm nghề, công việc nặng nhọc, độc hại, nguy hiểm hoặc đặc biệt nặng nhọc, độc hại, nguy hiểm có ảnh hưởng xấu tới sức khỏe người lao động cao tuổi, trừ trường hợp bảo đảm các điều kiện làm việc an toàn theo quy định.</w:t>
      </w:r>
    </w:p>
    <w:p>
      <w:pPr>
        <w:keepNext/>
        <w:spacing w:after="80" w:before="160"/>
      </w:pPr>
      <w:r>
        <w:rPr>
          <w:rFonts w:ascii="Times New Roman" w:cs="Times New Roman" w:eastAsia="Times New Roman" w:hAnsi="Times New Roman"/>
          <w:b/>
          <w:bCs/>
          <w:sz w:val="26"/>
          <w:szCs w:val="26"/>
        </w:rPr>
        <w:t xml:space="preserve">Điều 2. Loại hợp đồng và thời hạn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Hợp đồng lao động xác định thời hạn [12] tháng, từ ngày ...../...../2026 đến ngày ...../...../20.....</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Hai bên có thể thỏa thuận giao kết nhiều lần hợp đồng lao động xác định thời hạn theo Điều 149 Bộ luật Lao động. Việc gia hạn, giao kết tiếp được thực hiện bằng phụ lục hoặc hợp đồng mới trước ngày hết hạn.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[Thử việc: ☐ Không áp dụng  ☐ Có, thời gian ...... ngày, lương thử việc ......% mức lương tại Điều 4.]</w:t>
      </w:r>
    </w:p>
    <w:p>
      <w:pPr>
        <w:keepNext/>
        <w:spacing w:after="80" w:before="160"/>
      </w:pPr>
      <w:r>
        <w:rPr>
          <w:rFonts w:ascii="Times New Roman" w:cs="Times New Roman" w:eastAsia="Times New Roman" w:hAnsi="Times New Roman"/>
          <w:b/>
          <w:bCs/>
          <w:sz w:val="26"/>
          <w:szCs w:val="26"/>
        </w:rPr>
        <w:t xml:space="preserve">Điều 3. Thời giờ làm việc, thời giờ nghỉ ngơi</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Thời giờ làm việc: [08] giờ/ngày, [..] ngày/tuần, từ [..] giờ đến [..] giờ. Hoặc: ☐ làm việc không trọn thời gian [..] giờ/ngày theo thỏa thuận tại Điều 148 Bộ luật Lao động.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Bên B được nghỉ giữa giờ, nghỉ hằng tuần, nghỉ lễ, Tết, nghỉ hằng năm theo Bộ luật Lao động và Nội quy lao động.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Làm thêm giờ chỉ khi Bên B đồng ý và phù hợp với tình trạng sức khỏe; tiền lương làm thêm giờ theo quy định.</w:t>
      </w:r>
    </w:p>
    <w:p>
      <w:pPr>
        <w:keepNext/>
        <w:spacing w:after="80" w:before="160"/>
      </w:pPr>
      <w:r>
        <w:rPr>
          <w:rFonts w:ascii="Times New Roman" w:cs="Times New Roman" w:eastAsia="Times New Roman" w:hAnsi="Times New Roman"/>
          <w:b/>
          <w:bCs/>
          <w:sz w:val="26"/>
          <w:szCs w:val="26"/>
        </w:rPr>
        <w:t xml:space="preserve">Điều 4. Tiền lương, phụ cấp</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Mức lương theo công việc/chức danh: [..........] đồng/tháng.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Phụ cấp lương: [..........] đồng/tháng (nếu có).</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Các khoản bổ sung khác: [..........].</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Hình thức trả lương: chuyển khoản vào tài khoản của Bên B. Kỳ trả lương: ngày [..] hằng tháng.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Chế độ nâng lương, thưởng: theo Quy chế lương thưởng và Quy chế nâng lương của Bên A.</w:t>
      </w:r>
    </w:p>
    <w:p>
      <w:pPr>
        <w:keepNext/>
        <w:spacing w:after="80" w:before="160"/>
      </w:pPr>
      <w:r>
        <w:rPr>
          <w:rFonts w:ascii="Times New Roman" w:cs="Times New Roman" w:eastAsia="Times New Roman" w:hAnsi="Times New Roman"/>
          <w:b/>
          <w:bCs/>
          <w:sz w:val="26"/>
          <w:szCs w:val="26"/>
        </w:rPr>
        <w:t xml:space="preserve">Điều 5. Khoản trả thêm thay cho bảo hiểm bắt buộc</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Bên B đang hưởng lương hưu, không thuộc đối tượng tham gia BHXH bắt buộc, bảo hiểm thất nghiệp theo hợp đồng này. Bên A không đóng BHXH bắt buộc, BHTN cho Bên B.</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Theo khoản 3 Điều 168 Bộ luật Lao động, Bên A trả thêm cho Bên B cùng kỳ trả lương một khoản tiền bằng [21,5]% tiền lương tại Điều 4 (gồm mức lương, phụ cấp lương và các khoản bổ sung có tính chất cố định), tương đương mức Bên A đóng BHXH, BHYT, BHTN theo quy định.</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Khoản trả thêm được ghi thành dòng riêng trên bảng lương và phiếu lương.</w:t>
      </w:r>
    </w:p>
    <w:p>
      <w:pPr>
        <w:keepNext/>
        <w:spacing w:after="80" w:before="160"/>
      </w:pPr>
      <w:r>
        <w:rPr>
          <w:rFonts w:ascii="Times New Roman" w:cs="Times New Roman" w:eastAsia="Times New Roman" w:hAnsi="Times New Roman"/>
          <w:b/>
          <w:bCs/>
          <w:sz w:val="26"/>
          <w:szCs w:val="26"/>
        </w:rPr>
        <w:t xml:space="preserve">Điều 6. Thuế thu nhập cá nhân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Tiền lương, phụ cấp và khoản trả thêm theo hợp đồng này là thu nhập từ tiền lương, tiền công của Bên B; Bên A khấu trừ thuế TNCN theo quy định hiện hành.</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Lương hưu do cơ quan BHXH chi trả không phải là thu nhập do Bên A chi trả và không tính vào thu nhập khấu trừ tại Bên A.</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Bên B cung cấp thông tin giảm trừ gia cảnh, người phụ thuộc (nếu có) để Bên A tính thuế.</w:t>
      </w:r>
    </w:p>
    <w:p>
      <w:pPr>
        <w:keepNext/>
        <w:spacing w:after="80" w:before="160"/>
      </w:pPr>
      <w:r>
        <w:rPr>
          <w:rFonts w:ascii="Times New Roman" w:cs="Times New Roman" w:eastAsia="Times New Roman" w:hAnsi="Times New Roman"/>
          <w:b/>
          <w:bCs/>
          <w:sz w:val="26"/>
          <w:szCs w:val="26"/>
        </w:rPr>
        <w:t xml:space="preserve">Điều 7. An toàn, vệ sinh lao động và sức khỏe</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Bên A khám sức khỏe cho Bên B trước khi bố trí làm việc và định kỳ [01] lần/năm; bố trí công việc phù hợp sức khỏe.</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Bên A trang bị phương tiện bảo vệ cá nhân, huấn luyện an toàn theo công việc.</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Trường hợp Bên B bị tai nạn lao động, bệnh nghề nghiệp, Bên A thực hiện trách nhiệm đối với người lao động không thuộc đối tượng tham gia BHXH bắt buộc theo Luật An toàn, vệ sinh lao động.</w:t>
      </w:r>
    </w:p>
    <w:p>
      <w:pPr>
        <w:keepNext/>
        <w:spacing w:after="80" w:before="160"/>
      </w:pPr>
      <w:r>
        <w:rPr>
          <w:rFonts w:ascii="Times New Roman" w:cs="Times New Roman" w:eastAsia="Times New Roman" w:hAnsi="Times New Roman"/>
          <w:b/>
          <w:bCs/>
          <w:sz w:val="26"/>
          <w:szCs w:val="26"/>
        </w:rPr>
        <w:t xml:space="preserve">Điều 8. Quyền và nghĩa vụ của Bên B</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Được trả lương, khoản trả thêm, hưởng các quyền lợi theo hợp đồng, Nội quy lao động, quy chế của Bên A; quyền lợi hưu trí đang hưởng không bị ảnh hưởng bởi hợp đồng này.</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Được thỏa thuận rút ngắn thời giờ làm việc hằng ngày hoặc làm việc không trọn thời gian.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Thực hiện công việc, chấp hành Nội quy lao động, quy định an toàn, bảo mật thông tin.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Cung cấp bản sao quyết định hưởng lương hưu; thông báo cho Bên A trong [05] ngày làm việc khi có thay đổi về tình trạng hưởng lương hưu hoặc sức khỏe ảnh hưởng đến công việc.</w:t>
      </w:r>
    </w:p>
    <w:p>
      <w:pPr>
        <w:keepNext/>
        <w:spacing w:after="80" w:before="160"/>
      </w:pPr>
      <w:r>
        <w:rPr>
          <w:rFonts w:ascii="Times New Roman" w:cs="Times New Roman" w:eastAsia="Times New Roman" w:hAnsi="Times New Roman"/>
          <w:b/>
          <w:bCs/>
          <w:sz w:val="26"/>
          <w:szCs w:val="26"/>
        </w:rPr>
        <w:t xml:space="preserve">Điều 9. Quyền và nghĩa vụ của Bên A</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Điều hành, giao việc, đánh giá kết quả công việc theo quy chế.</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Trả lương, khoản trả thêm đầy đủ, đúng hạn; khấu trừ, kê khai thuế TNCN.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Bảo đảm điều kiện làm việc an toàn, phù hợp người lao động cao tuổi; quan tâm chăm sóc sức khỏe.</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Không báo tăng, đóng BHXH bắt buộc, BHTN cho Bên B; ghi nhận Bên B vào Sổ quản lý lao động.</w:t>
      </w:r>
    </w:p>
    <w:p>
      <w:pPr>
        <w:keepNext/>
        <w:spacing w:after="80" w:before="160"/>
      </w:pPr>
      <w:r>
        <w:rPr>
          <w:rFonts w:ascii="Times New Roman" w:cs="Times New Roman" w:eastAsia="Times New Roman" w:hAnsi="Times New Roman"/>
          <w:b/>
          <w:bCs/>
          <w:sz w:val="26"/>
          <w:szCs w:val="26"/>
        </w:rPr>
        <w:t xml:space="preserve">Điều 10. Phúc lợi, đào tạo</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Bên B được hưởng phúc lợi theo Quy chế phúc lợi của Bên A như người lao động khác, trừ các chế độ gắn với việc tham gia BHXH bắt buộc.</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Đào tạo theo yêu cầu công việc theo Quy chế đào tạo của Bên A.</w:t>
      </w:r>
    </w:p>
    <w:p>
      <w:pPr>
        <w:keepNext/>
        <w:spacing w:after="80" w:before="160"/>
      </w:pPr>
      <w:r>
        <w:rPr>
          <w:rFonts w:ascii="Times New Roman" w:cs="Times New Roman" w:eastAsia="Times New Roman" w:hAnsi="Times New Roman"/>
          <w:b/>
          <w:bCs/>
          <w:sz w:val="26"/>
          <w:szCs w:val="26"/>
        </w:rPr>
        <w:t xml:space="preserve">Điều 11. Bảo mật và tài sản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Bên B bảo mật thông tin kinh doanh, dữ liệu cá nhân tiếp cận trong quá trình làm việc, kể cả sau khi chấm dứt hợp đồng.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Tài sản, công cụ Bên A giao được bàn giao bằng biên bản và hoàn trả khi chấm dứt hợp đồng.</w:t>
      </w:r>
    </w:p>
    <w:p>
      <w:pPr>
        <w:keepNext/>
        <w:spacing w:after="80" w:before="160"/>
      </w:pPr>
      <w:r>
        <w:rPr>
          <w:rFonts w:ascii="Times New Roman" w:cs="Times New Roman" w:eastAsia="Times New Roman" w:hAnsi="Times New Roman"/>
          <w:b/>
          <w:bCs/>
          <w:sz w:val="26"/>
          <w:szCs w:val="26"/>
        </w:rPr>
        <w:t xml:space="preserve">Điều 12. Chấm dứt hợp đồng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Hợp đồng chấm dứt theo các trường hợp tại Điều 34 Bộ luật Lao động.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Mỗi bên có quyền đơn phương chấm dứt theo Điều 35, Điều 36 Bộ luật Lao động, báo trước theo thời hạn tương ứng loại hợp đồng.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[Thỏa thuận lựa chọn: ☐ Bên A không áp dụng căn cứ "người lao động đủ tuổi nghỉ hưu" để đơn phương chấm dứt trong thời hạn hợp đồng này.]</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Bên B đủ điều kiện hưởng lương hưu nên không thuộc trường hợp hưởng trợ cấp thôi việc theo Điều 46 Bộ luật Lao động, trừ khi hai bên có thỏa thuận hỗ trợ khác.</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Trong 14 ngày làm việc kể từ ngày chấm dứt, hai bên thanh toán đầy đủ các khoản liên quan theo Điều 48 Bộ luật Lao động.</w:t>
      </w:r>
    </w:p>
    <w:p>
      <w:pPr>
        <w:keepNext/>
        <w:spacing w:after="80" w:before="160"/>
      </w:pPr>
      <w:r>
        <w:rPr>
          <w:rFonts w:ascii="Times New Roman" w:cs="Times New Roman" w:eastAsia="Times New Roman" w:hAnsi="Times New Roman"/>
          <w:b/>
          <w:bCs/>
          <w:sz w:val="26"/>
          <w:szCs w:val="26"/>
        </w:rPr>
        <w:t xml:space="preserve">Điều 13. Giải quyết tranh chấp</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Tranh chấp được giải quyết bằng thương lượng; không thành thì giải quyết theo thủ tục giải quyết tranh chấp lao động cá nhân của Bộ luật Lao động.</w:t>
      </w:r>
    </w:p>
    <w:p>
      <w:pPr>
        <w:keepNext/>
        <w:spacing w:after="80" w:before="160"/>
      </w:pPr>
      <w:r>
        <w:rPr>
          <w:rFonts w:ascii="Times New Roman" w:cs="Times New Roman" w:eastAsia="Times New Roman" w:hAnsi="Times New Roman"/>
          <w:b/>
          <w:bCs/>
          <w:sz w:val="26"/>
          <w:szCs w:val="26"/>
        </w:rPr>
        <w:t xml:space="preserve">Điều 14. Hiệu lực và điều khoản thi hành</w:t>
      </w:r>
    </w:p>
    <w:p>
      <w:pPr>
        <w:pStyle w:val="ListParagraph"/>
        <w:keepNext/>
        <w:numPr>
          <w:ilvl w:val="0"/>
          <w:numId w:val="2"/>
        </w:numPr>
        <w:spacing w:after="80" w:line="300"/>
        <w:jc w:val="both"/>
      </w:pPr>
      <w:r>
        <w:rPr>
          <w:rFonts w:ascii="Times New Roman" w:cs="Times New Roman" w:eastAsia="Times New Roman" w:hAnsi="Times New Roman"/>
          <w:sz w:val="26"/>
          <w:szCs w:val="26"/>
        </w:rPr>
        <w:t xml:space="preserve">Hợp đồng có hiệu lực từ ngày ...../...../2026.</w:t>
      </w:r>
    </w:p>
    <w:p>
      <w:pPr>
        <w:pStyle w:val="ListParagraph"/>
        <w:keepNext/>
        <w:numPr>
          <w:ilvl w:val="0"/>
          <w:numId w:val="2"/>
        </w:numPr>
        <w:spacing w:after="80" w:line="300"/>
        <w:jc w:val="both"/>
      </w:pPr>
      <w:r>
        <w:rPr>
          <w:rFonts w:ascii="Times New Roman" w:cs="Times New Roman" w:eastAsia="Times New Roman" w:hAnsi="Times New Roman"/>
          <w:sz w:val="26"/>
          <w:szCs w:val="26"/>
        </w:rPr>
        <w:t xml:space="preserve">Những vấn đề không ghi trong hợp đồng áp dụng Nội quy lao động, thỏa ước lao động tập thể (nếu có), quy chế của Bên A và pháp luật lao động.</w:t>
      </w:r>
    </w:p>
    <w:p>
      <w:pPr>
        <w:pStyle w:val="ListParagraph"/>
        <w:keepNext/>
        <w:numPr>
          <w:ilvl w:val="0"/>
          <w:numId w:val="2"/>
        </w:numPr>
        <w:spacing w:after="80" w:line="300"/>
        <w:jc w:val="both"/>
      </w:pPr>
      <w:r>
        <w:rPr>
          <w:rFonts w:ascii="Times New Roman" w:cs="Times New Roman" w:eastAsia="Times New Roman" w:hAnsi="Times New Roman"/>
          <w:sz w:val="26"/>
          <w:szCs w:val="26"/>
        </w:rPr>
        <w:t xml:space="preserve">Hợp đồng lập thành 02 bản có giá trị như nhau, mỗi bên giữ 01 bản.</w:t>
      </w:r>
    </w:p>
    <w:p>
      <w:pPr>
        <w:keepNext/>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BÊN B – NGƯỜI LAO ĐỘNG</w:t>
            </w:r>
          </w:p>
          <w:p>
            <w:pPr>
              <w:spacing w:after="900"/>
              <w:jc w:val="center"/>
            </w:pPr>
            <w:r>
              <w:rPr>
                <w:rFonts w:ascii="Times New Roman" w:cs="Times New Roman" w:eastAsia="Times New Roman" w:hAnsi="Times New Roman"/>
                <w:i/>
                <w:iCs/>
                <w:sz w:val="22"/>
                <w:szCs w:val="22"/>
              </w:rPr>
              <w:t xml:space="preserve">(Ký, ghi rõ họ tên)</w:t>
            </w:r>
          </w:p>
        </w:tc>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BÊN A – NGƯỜI SỬ DỤNG LAO ĐỘNG</w:t>
            </w:r>
          </w:p>
          <w:p>
            <w:pPr>
              <w:spacing w:after="900"/>
              <w:jc w:val="center"/>
            </w:pPr>
            <w:r>
              <w:rPr>
                <w:rFonts w:ascii="Times New Roman" w:cs="Times New Roman" w:eastAsia="Times New Roman" w:hAnsi="Times New Roman"/>
                <w:i/>
                <w:iCs/>
                <w:sz w:val="22"/>
                <w:szCs w:val="22"/>
              </w:rPr>
              <w:t xml:space="preserve">(Ký, ghi rõ họ tên)</w:t>
            </w:r>
          </w:p>
        </w:tc>
      </w:tr>
    </w:tbl>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4271"/>
      </w:tblGrid>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[TÊN DOANH NGHIỆP]</w:t>
            </w:r>
          </w:p>
          <w:p>
            <w:pPr>
              <w:keepNext w:val="false"/>
              <w:spacing w:after="20"/>
              <w:jc w:val="left"/>
            </w:pPr>
            <w:r>
              <w:rPr>
                <w:rFonts w:ascii="Times New Roman" w:cs="Times New Roman" w:eastAsia="Times New Roman" w:hAnsi="Times New Roman"/>
                <w:b w:val="false"/>
                <w:bCs w:val="false"/>
                <w:sz w:val="22"/>
                <w:szCs w:val="22"/>
              </w:rPr>
              <w:t xml:space="preserve">Bộ phận: [..........]</w:t>
            </w:r>
          </w:p>
        </w:tc>
        <w:tc>
          <w:tcPr>
            <w:tcW w:type="dxa" w:w="4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PHỤ LỤC 01 – MẪU 01</w:t>
            </w:r>
          </w:p>
          <w:p>
            <w:pPr>
              <w:keepNext w:val="false"/>
              <w:spacing w:after="20"/>
              <w:jc w:val="left"/>
            </w:pPr>
            <w:r>
              <w:rPr>
                <w:rFonts w:ascii="Times New Roman" w:cs="Times New Roman" w:eastAsia="Times New Roman" w:hAnsi="Times New Roman"/>
                <w:b w:val="false"/>
                <w:bCs w:val="false"/>
                <w:sz w:val="22"/>
                <w:szCs w:val="22"/>
              </w:rPr>
              <w:t xml:space="preserve">(Ban hành kèm Hợp đồng lao động số [......])</w:t>
            </w:r>
          </w:p>
        </w:tc>
      </w:tr>
    </w:tbl>
    <w:p>
      <w:pPr>
        <w:spacing w:after="60"/>
      </w:pPr>
    </w:p>
    <w:p>
      <w:pPr>
        <w:spacing w:after="40" w:before="0" w:line="300"/>
        <w:jc w:val="center"/>
      </w:pPr>
      <w:r>
        <w:rPr>
          <w:rFonts w:ascii="Times New Roman" w:cs="Times New Roman" w:eastAsia="Times New Roman" w:hAnsi="Times New Roman"/>
          <w:b/>
          <w:bCs/>
          <w:sz w:val="28"/>
          <w:szCs w:val="28"/>
        </w:rPr>
        <w:t xml:space="preserve">BẢN KHAI TÌNH TRẠNG HƯỞNG LƯƠNG HƯU</w:t>
      </w:r>
    </w:p>
    <w:p>
      <w:pPr>
        <w:spacing w:after="100" w:before="0" w:line="300"/>
        <w:jc w:val="center"/>
      </w:pPr>
      <w:r>
        <w:rPr>
          <w:rFonts w:ascii="Times New Roman" w:cs="Times New Roman" w:eastAsia="Times New Roman" w:hAnsi="Times New Roman"/>
          <w:i/>
          <w:iCs/>
          <w:sz w:val="24"/>
          <w:szCs w:val="24"/>
        </w:rPr>
        <w:t xml:space="preserve">Người lao động kê khai trước khi ký hợp đồng</w:t>
      </w:r>
    </w:p>
    <w:p>
      <w:pPr>
        <w:spacing w:after="160" w:before="0" w:line="300"/>
        <w:jc w:val="center"/>
      </w:pPr>
      <w:r>
        <w:rPr>
          <w:rFonts w:ascii="Times New Roman" w:cs="Times New Roman" w:eastAsia="Times New Roman" w:hAnsi="Times New Roman"/>
          <w:i/>
          <w:iCs/>
          <w:sz w:val="24"/>
          <w:szCs w:val="24"/>
        </w:rPr>
        <w:t xml:space="preserve">Ngày ...... tháng ...... năm 2026     Số: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Họ và tên, ngày sinh</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Số CCCD, mã số BHXH</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Quyết định hưởng lương hưu số, ngày, cơ quan ban hành</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Thời điểm bắt đầu hưởng lương hưu</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Nơi đang nhận lương hưu (BHXH tỉnh/thành)</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Thẻ BHYT đang sử dụng (mã thẻ)</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Tài liệu kèm theo: ☐ Bản sao quyết định hưởng lương hưu  ☐ Xác nhận của cơ quan BHXH</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p>
      <w:pPr>
        <w:spacing w:after="100" w:before="0" w:line="300"/>
        <w:jc w:val="both"/>
      </w:pPr>
      <w:r>
        <w:rPr>
          <w:rFonts w:ascii="Times New Roman" w:cs="Times New Roman" w:eastAsia="Times New Roman" w:hAnsi="Times New Roman"/>
          <w:sz w:val="26"/>
          <w:szCs w:val="26"/>
        </w:rPr>
        <w:t xml:space="preserve">Tôi cam kết thông tin kê khai đúng sự thật và thông báo cho Công ty trong [05] ngày làm việc khi có thay đổi. Tôi đồng ý để Công ty sử dụng thông tin trên cho mục đích quản lý lao động, tiền lương, thuế theo Quy chế bảo vệ dữ liệu cá nhân.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Người lao động</w:t>
            </w:r>
          </w:p>
          <w:p>
            <w:pPr>
              <w:spacing w:after="900"/>
              <w:jc w:val="center"/>
            </w:pPr>
            <w:r>
              <w:rPr>
                <w:rFonts w:ascii="Times New Roman" w:cs="Times New Roman" w:eastAsia="Times New Roman" w:hAnsi="Times New Roman"/>
                <w:i/>
                <w:iCs/>
                <w:sz w:val="22"/>
                <w:szCs w:val="22"/>
              </w:rPr>
              <w:t xml:space="preserve">(Ký, ghi rõ họ tên)</w:t>
            </w:r>
          </w:p>
        </w:tc>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Nhân sự tiếp nhận</w:t>
            </w:r>
          </w:p>
          <w:p>
            <w:pPr>
              <w:spacing w:after="900"/>
              <w:jc w:val="center"/>
            </w:pPr>
            <w:r>
              <w:rPr>
                <w:rFonts w:ascii="Times New Roman" w:cs="Times New Roman" w:eastAsia="Times New Roman" w:hAnsi="Times New Roman"/>
                <w:i/>
                <w:iCs/>
                <w:sz w:val="22"/>
                <w:szCs w:val="22"/>
              </w:rPr>
              <w:t xml:space="preserve">(Ký, ghi rõ họ tên)</w:t>
            </w:r>
          </w:p>
        </w:tc>
      </w:tr>
    </w:tbl>
    <w:p>
      <w:pPr>
        <w:pageBreakBefore/>
        <w:spacing w:after="0" w:line="120"/>
      </w:pPr>
    </w:p>
    <w:p>
      <w:pPr>
        <w:spacing w:after="40" w:before="0" w:line="300"/>
        <w:jc w:val="center"/>
      </w:pPr>
      <w:r>
        <w:rPr>
          <w:rFonts w:ascii="Times New Roman" w:cs="Times New Roman" w:eastAsia="Times New Roman" w:hAnsi="Times New Roman"/>
          <w:b/>
          <w:bCs/>
          <w:color w:val="17365D"/>
          <w:sz w:val="28"/>
          <w:szCs w:val="28"/>
        </w:rPr>
        <w:t xml:space="preserve">PHỤ LỤC 02</w:t>
      </w:r>
    </w:p>
    <w:p>
      <w:pPr>
        <w:spacing w:after="160" w:before="0" w:line="300"/>
        <w:jc w:val="center"/>
      </w:pPr>
      <w:r>
        <w:rPr>
          <w:rFonts w:ascii="Times New Roman" w:cs="Times New Roman" w:eastAsia="Times New Roman" w:hAnsi="Times New Roman"/>
          <w:b/>
          <w:bCs/>
          <w:sz w:val="26"/>
          <w:szCs w:val="26"/>
        </w:rPr>
        <w:t xml:space="preserve">BẢNG TÍNH TIỀN LƯƠNG VÀ KHOẢN TRẢ THÊM (VÍ DỤ)</w:t>
      </w:r>
    </w:p>
    <w:p>
      <w:pPr>
        <w:spacing w:after="100" w:before="0" w:line="300"/>
        <w:jc w:val="both"/>
      </w:pPr>
      <w:r>
        <w:rPr>
          <w:rFonts w:ascii="Times New Roman" w:cs="Times New Roman" w:eastAsia="Times New Roman" w:hAnsi="Times New Roman"/>
          <w:i/>
          <w:iCs/>
          <w:sz w:val="26"/>
          <w:szCs w:val="26"/>
        </w:rPr>
        <w:t xml:space="preserve">Giả định: mức lương 10.000.000 đồng/tháng, phụ cấp trách nhiệm 1.000.000 đồng/tháng, tỷ lệ trả thêm 21,5%.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00"/>
        <w:gridCol w:w="3171"/>
        <w:gridCol w:w="2000"/>
      </w:tblGrid>
      <w:tr>
        <w:trPr>
          <w:tblHeader/>
        </w:trPr>
        <w:tc>
          <w:tcPr>
            <w:tcW w:type="dxa" w:w="3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Khoản mục</w:t>
            </w:r>
          </w:p>
        </w:tc>
        <w:tc>
          <w:tcPr>
            <w:tcW w:type="dxa" w:w="31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Cách tính</w:t>
            </w:r>
          </w:p>
        </w:tc>
        <w:tc>
          <w:tcPr>
            <w:tcW w:type="dxa" w:w="20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Số tiền (đồng)</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Tiền lương làm căn cứ</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10.000.000 + 1.000.000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11.000.000</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Trả thêm – hưu trí, tử tuất (14%)</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11.000.000 × 14%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1.540.000</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Trả thêm – ốm đau, thai sản (3%)</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11.000.000 × 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330.000</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Trả thêm – TNLĐ, BNN (0,5%)</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11.000.000 × 0,5%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55.000</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Trả thêm – BHTN (1%)</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11.000.000 × 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110.000</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Trả thêm – BHYT (3%)</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11.000.000 × 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330.000</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1"/>
                <w:szCs w:val="21"/>
              </w:rPr>
              <w:t xml:space="preserve">Tổng khoản trả thêm (21,5%)</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1"/>
                <w:szCs w:val="21"/>
              </w:rPr>
              <w:t xml:space="preserve">2.365.000</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1"/>
                <w:szCs w:val="21"/>
              </w:rPr>
              <w:t xml:space="preserve">Tổng thu nhập tháng</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11.000.000 + 2.365.000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1"/>
                <w:szCs w:val="21"/>
              </w:rPr>
              <w:t xml:space="preserve">13.365.000</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Khấu trừ BHXH, BHYT, BHTN phần người lao động</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Không phát sinh</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0</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Thuế TNCN</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Theo biểu thuế, giảm trừ gia cảnh hiện hành</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1"/>
                <w:szCs w:val="21"/>
              </w:rPr>
              <w:t xml:space="preserve">Thực lĩnh</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w:t>
            </w:r>
          </w:p>
        </w:tc>
      </w:tr>
    </w:tbl>
    <w:p>
      <w:pPr>
        <w:spacing w:after="60"/>
      </w:pPr>
    </w:p>
    <w:p>
      <w:pPr>
        <w:spacing w:after="100" w:before="0" w:line="300"/>
        <w:jc w:val="both"/>
      </w:pPr>
      <w:r>
        <w:rPr>
          <w:rFonts w:ascii="Times New Roman" w:cs="Times New Roman" w:eastAsia="Times New Roman" w:hAnsi="Times New Roman"/>
          <w:i/>
          <w:iCs/>
          <w:sz w:val="26"/>
          <w:szCs w:val="26"/>
        </w:rPr>
        <w:t xml:space="preserve">Công ty không khấu trừ phần BHXH, BHYT, BHTN của người lao động vì người lao động không tham gia theo hợp đồng này. Kế toán ghi nhận khoản trả thêm vào chi phí tiền lương; khoản này được ghi trong HĐLĐ là căn cứ chi phí được trừ.</w:t>
      </w:r>
    </w:p>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4271"/>
      </w:tblGrid>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[TÊN DOANH NGHIỆP]</w:t>
            </w:r>
          </w:p>
          <w:p>
            <w:pPr>
              <w:keepNext w:val="false"/>
              <w:spacing w:after="20"/>
              <w:jc w:val="left"/>
            </w:pPr>
            <w:r>
              <w:rPr>
                <w:rFonts w:ascii="Times New Roman" w:cs="Times New Roman" w:eastAsia="Times New Roman" w:hAnsi="Times New Roman"/>
                <w:b w:val="false"/>
                <w:bCs w:val="false"/>
                <w:sz w:val="22"/>
                <w:szCs w:val="22"/>
              </w:rPr>
              <w:t xml:space="preserve">Bộ phận: [..........]</w:t>
            </w:r>
          </w:p>
        </w:tc>
        <w:tc>
          <w:tcPr>
            <w:tcW w:type="dxa" w:w="4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PHỤ LỤC 03 – MẪU 02</w:t>
            </w:r>
          </w:p>
          <w:p>
            <w:pPr>
              <w:keepNext w:val="false"/>
              <w:spacing w:after="20"/>
              <w:jc w:val="left"/>
            </w:pPr>
            <w:r>
              <w:rPr>
                <w:rFonts w:ascii="Times New Roman" w:cs="Times New Roman" w:eastAsia="Times New Roman" w:hAnsi="Times New Roman"/>
                <w:b w:val="false"/>
                <w:bCs w:val="false"/>
                <w:sz w:val="22"/>
                <w:szCs w:val="22"/>
              </w:rPr>
              <w:t xml:space="preserve">(Ban hành kèm Hợp đồng lao động số [......])</w:t>
            </w:r>
          </w:p>
        </w:tc>
      </w:tr>
    </w:tbl>
    <w:p>
      <w:pPr>
        <w:spacing w:after="60"/>
      </w:pPr>
    </w:p>
    <w:p>
      <w:pPr>
        <w:spacing w:after="40" w:before="0" w:line="300"/>
        <w:jc w:val="center"/>
      </w:pPr>
      <w:r>
        <w:rPr>
          <w:rFonts w:ascii="Times New Roman" w:cs="Times New Roman" w:eastAsia="Times New Roman" w:hAnsi="Times New Roman"/>
          <w:b/>
          <w:bCs/>
          <w:sz w:val="28"/>
          <w:szCs w:val="28"/>
        </w:rPr>
        <w:t xml:space="preserve">PHỤ LỤC GIA HẠN HỢP ĐỒNG LAO ĐỘNG</w:t>
      </w:r>
    </w:p>
    <w:p>
      <w:pPr>
        <w:spacing w:after="100" w:before="0" w:line="300"/>
        <w:jc w:val="center"/>
      </w:pPr>
      <w:r>
        <w:rPr>
          <w:rFonts w:ascii="Times New Roman" w:cs="Times New Roman" w:eastAsia="Times New Roman" w:hAnsi="Times New Roman"/>
          <w:i/>
          <w:iCs/>
          <w:sz w:val="24"/>
          <w:szCs w:val="24"/>
        </w:rPr>
        <w:t xml:space="preserve">Giao kết tiếp hợp đồng xác định thời hạn với người lao động cao tuổi</w:t>
      </w:r>
    </w:p>
    <w:p>
      <w:pPr>
        <w:spacing w:after="160" w:before="0" w:line="300"/>
        <w:jc w:val="center"/>
      </w:pPr>
      <w:r>
        <w:rPr>
          <w:rFonts w:ascii="Times New Roman" w:cs="Times New Roman" w:eastAsia="Times New Roman" w:hAnsi="Times New Roman"/>
          <w:i/>
          <w:iCs/>
          <w:sz w:val="24"/>
          <w:szCs w:val="24"/>
        </w:rPr>
        <w:t xml:space="preserve">Ngày ...... tháng ...... năm 2026     Số: ............</w:t>
      </w:r>
    </w:p>
    <w:p>
      <w:pPr>
        <w:spacing w:after="100" w:before="0" w:line="300"/>
        <w:jc w:val="both"/>
      </w:pPr>
      <w:r>
        <w:rPr>
          <w:rFonts w:ascii="Times New Roman" w:cs="Times New Roman" w:eastAsia="Times New Roman" w:hAnsi="Times New Roman"/>
          <w:sz w:val="26"/>
          <w:szCs w:val="26"/>
        </w:rPr>
        <w:t xml:space="preserve">Căn cứ Hợp đồng lao động số ....... ngày .......; căn cứ Điều 149 Bộ luật Lao động, hai bên thỏa thuận: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Thời hạn mới: từ ngày ... đến ngày ...</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Công việc, địa điểm (nếu thay đổi)</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Mức lương, phụ cấp mới (nếu thay đổi)</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Tỷ lệ khoản trả thêm</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Kết quả khám sức khỏe gần nhất (ngày)</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p>
      <w:pPr>
        <w:spacing w:after="100" w:before="0" w:line="300"/>
        <w:jc w:val="both"/>
      </w:pPr>
      <w:r>
        <w:rPr>
          <w:rFonts w:ascii="Times New Roman" w:cs="Times New Roman" w:eastAsia="Times New Roman" w:hAnsi="Times New Roman"/>
          <w:sz w:val="26"/>
          <w:szCs w:val="26"/>
        </w:rPr>
        <w:t xml:space="preserve">Các nội dung khác giữ nguyên theo Hợp đồng lao động. Phụ lục lập thành 02 bản, mỗi bên giữ 01 bản.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Người lao động</w:t>
            </w:r>
          </w:p>
          <w:p>
            <w:pPr>
              <w:spacing w:after="900"/>
              <w:jc w:val="center"/>
            </w:pPr>
            <w:r>
              <w:rPr>
                <w:rFonts w:ascii="Times New Roman" w:cs="Times New Roman" w:eastAsia="Times New Roman" w:hAnsi="Times New Roman"/>
                <w:i/>
                <w:iCs/>
                <w:sz w:val="22"/>
                <w:szCs w:val="22"/>
              </w:rPr>
              <w:t xml:space="preserve">(Ký, ghi rõ họ tên)</w:t>
            </w:r>
          </w:p>
        </w:tc>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Người sử dụng lao động</w:t>
            </w:r>
          </w:p>
          <w:p>
            <w:pPr>
              <w:spacing w:after="900"/>
              <w:jc w:val="center"/>
            </w:pPr>
            <w:r>
              <w:rPr>
                <w:rFonts w:ascii="Times New Roman" w:cs="Times New Roman" w:eastAsia="Times New Roman" w:hAnsi="Times New Roman"/>
                <w:i/>
                <w:iCs/>
                <w:sz w:val="22"/>
                <w:szCs w:val="22"/>
              </w:rPr>
              <w:t xml:space="preserve">(Ký, ghi rõ họ tên)</w:t>
            </w:r>
          </w:p>
        </w:tc>
      </w:tr>
    </w:tbl>
    <w:p>
      <w:pPr>
        <w:pageBreakBefore/>
        <w:spacing w:after="0" w:line="120"/>
      </w:pPr>
    </w:p>
    <w:p>
      <w:pPr>
        <w:spacing w:after="40" w:before="0" w:line="300"/>
        <w:jc w:val="center"/>
      </w:pPr>
      <w:r>
        <w:rPr>
          <w:rFonts w:ascii="Times New Roman" w:cs="Times New Roman" w:eastAsia="Times New Roman" w:hAnsi="Times New Roman"/>
          <w:b/>
          <w:bCs/>
          <w:color w:val="17365D"/>
          <w:sz w:val="28"/>
          <w:szCs w:val="28"/>
        </w:rPr>
        <w:t xml:space="preserve">PHỤ LỤC 04</w:t>
      </w:r>
    </w:p>
    <w:p>
      <w:pPr>
        <w:spacing w:after="160" w:before="0" w:line="300"/>
        <w:jc w:val="center"/>
      </w:pPr>
      <w:r>
        <w:rPr>
          <w:rFonts w:ascii="Times New Roman" w:cs="Times New Roman" w:eastAsia="Times New Roman" w:hAnsi="Times New Roman"/>
          <w:b/>
          <w:bCs/>
          <w:sz w:val="26"/>
          <w:szCs w:val="26"/>
        </w:rPr>
        <w:t xml:space="preserve">CHECKLIST HỒ SƠ KHI SỬ DỤNG NGƯỜI ĐANG HƯỞNG LƯƠNG HƯU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5371"/>
        <w:gridCol w:w="2000"/>
        <w:gridCol w:w="1000"/>
      </w:tblGrid>
      <w:tr>
        <w:trPr>
          <w:tblHeader/>
        </w:trPr>
        <w:tc>
          <w:tcPr>
            <w:tcW w:type="dxa" w:w="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STT</w:t>
            </w:r>
          </w:p>
        </w:tc>
        <w:tc>
          <w:tcPr>
            <w:tcW w:type="dxa" w:w="53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Đầu việc</w:t>
            </w:r>
          </w:p>
        </w:tc>
        <w:tc>
          <w:tcPr>
            <w:tcW w:type="dxa" w:w="20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Phụ trách</w:t>
            </w:r>
          </w:p>
        </w:tc>
        <w:tc>
          <w:tcPr>
            <w:tcW w:type="dxa" w:w="10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1</w:t>
            </w:r>
          </w:p>
        </w:tc>
        <w:tc>
          <w:tcPr>
            <w:tcW w:type="dxa" w:w="53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Bản khai tình trạng hưởng lương hưu, bản sao quyết định hưởng lương hưu</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Nhân sự</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2</w:t>
            </w:r>
          </w:p>
        </w:tc>
        <w:tc>
          <w:tcPr>
            <w:tcW w:type="dxa" w:w="53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Giấy khám sức khỏe trước khi làm việc</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Nhân sự</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3</w:t>
            </w:r>
          </w:p>
        </w:tc>
        <w:tc>
          <w:tcPr>
            <w:tcW w:type="dxa" w:w="53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Bản mô tả công việc, xác nhận không thuộc nghề nặng nhọc, độc hại hoặc có điều kiện an toàn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Trưởng bộ phận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4</w:t>
            </w:r>
          </w:p>
        </w:tc>
        <w:tc>
          <w:tcPr>
            <w:tcW w:type="dxa" w:w="53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HĐLĐ đã ký, có điều khoản khoản trả thêm</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Nhân sự</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5</w:t>
            </w:r>
          </w:p>
        </w:tc>
        <w:tc>
          <w:tcPr>
            <w:tcW w:type="dxa" w:w="53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Không báo tăng BHXH, BHTN; ghi chú lý do trong hồ sơ</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Nhân sự</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6</w:t>
            </w:r>
          </w:p>
        </w:tc>
        <w:tc>
          <w:tcPr>
            <w:tcW w:type="dxa" w:w="53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Bảng lương có dòng khoản trả thêm riêng</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Kế toán lương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7</w:t>
            </w:r>
          </w:p>
        </w:tc>
        <w:tc>
          <w:tcPr>
            <w:tcW w:type="dxa" w:w="53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Khấu trừ thuế TNCN, đăng ký MST/giảm trừ gia cảnh</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Kế toán lương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8</w:t>
            </w:r>
          </w:p>
        </w:tc>
        <w:tc>
          <w:tcPr>
            <w:tcW w:type="dxa" w:w="53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Cập nhật Sổ quản lý lao động</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Nhân sự</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9</w:t>
            </w:r>
          </w:p>
        </w:tc>
        <w:tc>
          <w:tcPr>
            <w:tcW w:type="dxa" w:w="53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Lịch nhắc gia hạn trước 30 ngày</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Nhân sự</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1"/>
                <w:szCs w:val="21"/>
              </w:rPr>
              <w:t xml:space="preserve">10</w:t>
            </w:r>
          </w:p>
        </w:tc>
        <w:tc>
          <w:tcPr>
            <w:tcW w:type="dxa" w:w="53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Huấn luyện an toàn, trang bị bảo hộ (nếu có)</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Hành chính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p>
        </w:tc>
      </w:tr>
    </w:tbl>
    <w:p>
      <w:pPr>
        <w:spacing w:after="60"/>
      </w:pPr>
    </w:p>
    <w:p>
      <w:pPr>
        <w:spacing w:after="60"/>
      </w:pPr>
    </w:p>
    <w:p>
      <w:pPr>
        <w:spacing w:after="100" w:before="0" w:line="300"/>
        <w:jc w:val="center"/>
      </w:pPr>
      <w:r>
        <w:rPr>
          <w:rFonts w:ascii="Times New Roman" w:cs="Times New Roman" w:eastAsia="Times New Roman" w:hAnsi="Times New Roman"/>
          <w:i/>
          <w:iCs/>
          <w:sz w:val="26"/>
          <w:szCs w:val="26"/>
        </w:rPr>
        <w:t xml:space="preserve">— Hết —</w:t>
      </w:r>
    </w:p>
    <w:p>
      <w:pPr>
        <w:spacing w:after="60"/>
      </w:pPr>
    </w:p>
    <w:p>
      <w:pPr>
        <w:spacing w:after="100" w:before="0" w:line="300"/>
        <w:jc w:val="center"/>
      </w:pPr>
      <w:r>
        <w:t>Tài liệu quản trị nội bộ KK HOME</w:t>
      </w:r>
    </w:p>
    <w:p>
      <w:pPr>
        <w:spacing w:after="100" w:before="0" w:line="300"/>
        <w:jc w:val="center"/>
      </w:pPr>
      <w:r>
        <w:rPr>
          <w:rFonts w:ascii="Times New Roman" w:cs="Times New Roman" w:eastAsia="Times New Roman" w:hAnsi="Times New Roman"/>
          <w:i/>
          <w:iCs/>
          <w:sz w:val="22"/>
          <w:szCs w:val="22"/>
        </w:rPr>
        <w:t xml:space="preserve">Bạn được tự do sử dụng, chỉnh sửa cho doanh nghiệp của mình. Vui lòng giữ nguồn khi chia sẻ lại.</w:t>
      </w:r>
    </w:p>
    <w:sectPr>
      <w:headerReference w:type="default" r:id="rId7"/>
      <w:footerReference w:type="default" r:id="rId8"/>
      <w:pgSz w:w="11906" w:h="16838" w:orient="portrait"/>
      <w:pgMar w:top="1134" w:right="1134" w:bottom="1134" w:left="1701"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KK HOME — Lưu hành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365D" w:sz="4" w:space="2"/>
      </w:pBdr>
      <w:jc w:val="right"/>
    </w:pPr>
    <w:r>
      <w:t>KK HOME — QUẢN TRỊ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LAO ĐỘNG</dc:title>
  <dc:creator>Mr Wick Kiểm toán</dc:creator>
  <cp:lastModifiedBy>Un-named</cp:lastModifiedBy>
  <cp:revision>1</cp:revision>
  <dcterms:created xsi:type="dcterms:W3CDTF">2026-10-08T07:12:36.117Z</dcterms:created>
  <dcterms:modified xsi:type="dcterms:W3CDTF">2026-10-08T07:12:36.117Z</dcterms:modified>
</cp:coreProperties>
</file>

<file path=docProps/custom.xml><?xml version="1.0" encoding="utf-8"?>
<Properties xmlns="http://schemas.openxmlformats.org/officeDocument/2006/custom-properties" xmlns:vt="http://schemas.openxmlformats.org/officeDocument/2006/docPropsVTypes"/>
</file>