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13/TXNK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TÊN CƠ QUAN CHỦ QUẢN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CƠ QUAN BAN HÀNH </w:t>
        <w:br/>
        <w:t xml:space="preserve">VĂN BẢN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…/QĐ-…</w:t>
      </w:r>
    </w:p>
    <w:p>
      <w:pPr>
        <w:jc w:val="right"/>
      </w:pPr>
      <w:r>
        <w:rPr>
          <w:rFonts w:ascii="Arial" w:hAnsi="Arial" w:cs="Arial"/>
          <w:sz w:val="20"/>
          <w:sz-cs w:val="20"/>
          <w:i/>
        </w:rPr>
        <w:t xml:space="preserve">….., ngày … tháng … năm…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Mã số quản lý hải quan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QUYẾT ĐỊNH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Về việc hoàn thuế/không thu thuế đối với hàng hóa xuất khẩu, nhập khẩu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THỦ TRƯỞNG CƠ QUAN HẢI QUAN BAN HÀNH QUYẾT ĐỊNH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(2)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Điều... Luật Quản lý thuế số 38/2019/QH14;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Điều... Nghị định số... ngày... của Chính phủ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;(3)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khoản... Điều... Thông tư số... ngày... của Bộ Tài chính;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Căn cứ …; 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  <w:i/>
        </w:rPr>
        <w:t xml:space="preserve">Theo hồ sơ đề nghị hoàn thuế/không thu thuế của ………………… </w:t>
      </w:r>
      <w:r>
        <w:rPr>
          <w:rFonts w:ascii="Arial" w:hAnsi="Arial" w:cs="Arial"/>
          <w:sz w:val="20"/>
          <w:sz-cs w:val="20"/>
          <w:i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  <w:i/>
        </w:rPr>
        <w:t xml:space="preserve">, mã số thuế ………….., địa chỉ …………….. và tờ trình số... ngày... của …………………….,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QUYẾT ĐỊNH: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Điều 1.</w:t>
      </w:r>
      <w:r>
        <w:rPr>
          <w:rFonts w:ascii="Arial" w:hAnsi="Arial" w:cs="Arial"/>
          <w:sz w:val="20"/>
          <w:sz-cs w:val="20"/>
        </w:rPr>
        <w:t xml:space="preserve"> Hoàn trả số tiền thuế/không thu thuế theo tờ khai số... ngày...</w:t>
      </w:r>
      <w:r>
        <w:rPr>
          <w:rFonts w:ascii="Arial" w:hAnsi="Arial" w:cs="Arial"/>
          <w:sz w:val="20"/>
          <w:sz-cs w:val="20"/>
          <w:vertAlign w:val="superscript"/>
        </w:rPr>
        <w:t xml:space="preserve">(5)</w:t>
      </w:r>
      <w:r>
        <w:rPr>
          <w:rFonts w:ascii="Arial" w:hAnsi="Arial" w:cs="Arial"/>
          <w:sz w:val="20"/>
          <w:sz-cs w:val="20"/>
        </w:rPr>
        <w:t xml:space="preserve"> cho ………………….</w:t>
      </w:r>
      <w:r>
        <w:rPr>
          <w:rFonts w:ascii="Arial" w:hAnsi="Arial" w:cs="Arial"/>
          <w:sz w:val="20"/>
          <w:sz-cs w:val="20"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</w:rPr>
        <w:t xml:space="preserve">, mã số thuế ………………, địa chỉ ………………….với số tiền như sau:</w:t>
      </w:r>
    </w:p>
    <w:p>
      <w:pPr>
        <w:jc w:val="right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Đơn vị: VNĐ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STT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LOẠI THUẾ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SỐ TIỀN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xuất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nhập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tự vệ/thuế chống bán phá giá/thuế chống trợ cấp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4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tiêu thụ đặc biệt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5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bảo vệ môi trường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6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giá trị gia tăng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Tổng 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(Bằng chữ:...)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Điều 2.</w:t>
      </w:r>
      <w:r>
        <w:rPr>
          <w:rFonts w:ascii="Arial" w:hAnsi="Arial" w:cs="Arial"/>
          <w:sz w:val="20"/>
          <w:sz-cs w:val="20"/>
        </w:rPr>
        <w:t xml:space="preserve"> Phần bù trừ với các khoản phải nộp Ngân sách Nhà nước theo tờ khai/Quyết định số... ngày... cho …………….. </w:t>
      </w:r>
      <w:r>
        <w:rPr>
          <w:rFonts w:ascii="Arial" w:hAnsi="Arial" w:cs="Arial"/>
          <w:sz w:val="20"/>
          <w:sz-cs w:val="20"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</w:rPr>
        <w:t xml:space="preserve">, mã số thuế ……………….. tại Kho bạc Nhà nước:</w:t>
      </w:r>
      <w:r>
        <w:rPr>
          <w:rFonts w:ascii="Arial" w:hAnsi="Arial" w:cs="Arial"/>
          <w:sz w:val="20"/>
          <w:sz-cs w:val="20"/>
          <w:vertAlign w:val="superscript"/>
        </w:rPr>
        <w:t xml:space="preserve">(6)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Đơn vị: VNĐ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STT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Nội dung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Số tiền bù trừ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xuất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nhập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tự vệ/thuế chống bán phá giá/ thuế chống trợ cấp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4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tiêu thụ đặc biệt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5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bảo vệ môi trường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6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giá trị gia tăng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7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Tiền chậm nộp thuế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8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Tiền phạt vi phạm hành chính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9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Khác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Tổng 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(Bằng chữ....)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Điều 3.</w:t>
      </w:r>
      <w:r>
        <w:rPr>
          <w:rFonts w:ascii="Arial" w:hAnsi="Arial" w:cs="Arial"/>
          <w:sz w:val="20"/>
          <w:sz-cs w:val="20"/>
        </w:rPr>
        <w:t xml:space="preserve"> Phần còn lại được hoàn trả sau khi bù trừ với các khoản còn phải nộp Ngân sách Nhà nước:</w:t>
      </w:r>
      <w:r>
        <w:rPr>
          <w:rFonts w:ascii="Arial" w:hAnsi="Arial" w:cs="Arial"/>
          <w:sz w:val="20"/>
          <w:sz-cs w:val="20"/>
          <w:vertAlign w:val="superscript"/>
        </w:rPr>
        <w:t xml:space="preserve">(7)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Đơn vị: VNĐ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STT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Nội dung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Số tiền được hoàn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xuất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nhập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tự vệ/thuế chống bán phá giá/thuế chống trợ cấp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4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tiêu thụ đặc biệt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5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bảo vệ môi trường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6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giá trị gia tăng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7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Tiền chậm nộp thuế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8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Tiền phạt vi phạm hành chính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9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Khác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Tổng 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(Bằng chữ:...)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Hình thức hoàn trả: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□ Chuyển khoản: Số tài khoản: ... Tại Ngân hàng (Kho bạc Nhà nước)...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□ Tiền mặt: Nơi nhận tiền hoàn thuế: Kho bạc Nhà nước ...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  <w:b/>
        </w:rPr>
        <w:t xml:space="preserve">Điều 4.</w:t>
      </w:r>
      <w:r>
        <w:rPr>
          <w:rFonts w:ascii="Arial" w:hAnsi="Arial" w:cs="Arial"/>
          <w:sz w:val="20"/>
          <w:sz-cs w:val="20"/>
        </w:rPr>
        <w:t xml:space="preserve"> Quyết định này có hiệu lực kể từ ngày ký ……………..</w:t>
      </w:r>
      <w:r>
        <w:rPr>
          <w:rFonts w:ascii="Arial" w:hAnsi="Arial" w:cs="Arial"/>
          <w:sz w:val="20"/>
          <w:sz-cs w:val="20"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</w:rPr>
        <w:t xml:space="preserve"> mã số thuế …………….. và các bộ phận nghiệp vụ …………… </w:t>
      </w:r>
      <w:r>
        <w:rPr>
          <w:rFonts w:ascii="Arial" w:hAnsi="Arial" w:cs="Arial"/>
          <w:sz w:val="20"/>
          <w:sz-cs w:val="20"/>
          <w:vertAlign w:val="superscript"/>
        </w:rPr>
        <w:t xml:space="preserve">(8)</w:t>
      </w:r>
      <w:r>
        <w:rPr>
          <w:rFonts w:ascii="Arial" w:hAnsi="Arial" w:cs="Arial"/>
          <w:sz w:val="20"/>
          <w:sz-cs w:val="20"/>
        </w:rPr>
        <w:t xml:space="preserve"> chịu trách nhiệm thi hành Quyết định này./.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0"/>
          <w:sz-cs w:val="20"/>
        </w:rPr>
        <w:t xml:space="preserve">- Như Điều 4;</w:t>
        <w:br/>
        <w:t xml:space="preserve">- Cơ quan thuế;</w:t>
        <w:br/>
        <w:t xml:space="preserve">- Kho bạc Nhà nước;</w:t>
        <w:br/>
        <w:t xml:space="preserve">- ………</w:t>
        <w:br/>
        <w:t xml:space="preserve">- Lưu: VT,...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THỦ TRƯỞNG ĐƠN VỊ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tên, đóng dấu)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Công chức xử lý hồ sơ thực hiện cấp mã số quản lý hải quan theo cấu trúc: Mã Chi cục Hải quan/số thứ tự/Năm/Mã hoàn thuế/Mã loại hình tờ khai. Mã hoàn thuế trước, kiểm tra sau ghi HT01; mã kiểm tra trước, hoàn thuế sau ghi HT02.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Ghi chức danh của người có thẩm quyền quyết định hoàn thuế/không thu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Ghi rõ Điều, khoản văn bản quy phạm pháp luật áp dụng.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(4) Tên người nộp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(5) Trường hợp có nhiều tờ khai, liệt kê chi tiết số tiền thuế theo từng tờ khai tại Phụ lục đính kèm.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(6) Điều 2 dùng để bù trừ khoản tiền được hoàn với khoản tiền phải nộp.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(7) Điều 3 áp dụng đối với trường hợp hoàn kiêm bù trừ nhưng chưa hết, người nộp thuế đề nghị hoàn trả.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(8) Các bộ phận nghiệp vụ chịu trách nhiệm thi hành Quyết định.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</w:rPr>
        <w:t xml:space="preserve">TÊN CƠ QUAN CHỦ QUẢN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CƠ QUAN BAN HÀNH </w:t>
        <w:br/>
        <w:t xml:space="preserve">VĂN BẢN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