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02-LĐTL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Số:…………..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BẢNG THANH TOÁN TIỀN LƯƠNG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Tháng……. năm…….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Số TTHọ và tênBậc lươngHệ sốLương sản phẩmLương thời gianNghỉ việc ngừng việc hưởng...% lươngPhụ cấp thuộc quỹ lươngPhụ cấp khácTổng sốTạm ứng kỳ ICác khoản phải khấu trừ vào lươngKỳ II được lĩnh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Số SPSố tiềnSố côngSố tiềnSố côngSố tiềnBHXH…Thuế TNCN phải nộpCộngSố tiềnKý nhận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AB1234567891011121314151617C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Cộng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Tổng số tiền (viết bằng chữ):………………………………………………………………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Người lập biểu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Kế toán trưởng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Ngày.... tháng.... năm ...</w:t>
      </w:r>
      <w:r>
        <w:rPr>
          <w:rFonts w:ascii="Arial" w:hAnsi="Arial" w:cs="Arial"/>
          <w:sz w:val="20"/>
          <w:sz-cs w:val="20"/>
        </w:rPr>
        <w:t xml:space="preserve"> 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Giám đốc</w:t>
      </w: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