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07 -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PHÂN BỔ NGUYÊN LIỆU, VẬT LIỆU CÔNG CỤ, DỤNG CỤ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Tháng…. năm….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TT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Ghi Có các TK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Đối tượng sử dụng </w:t>
        <w:br/>
        <w:t xml:space="preserve">(Ghi Nợ các TK)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Tài khoản 152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Tài khoản 153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Tài khoản 242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Giá hạch toánGiá thực tếGiá hạch toánGiá thực tế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AB12345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1TK154 - Chi phí sản xuất kinh doanh dở dang (TK 631 - Giá thành sản xuất)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2TK 642 - Chi phí quản lý kinh doanh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3TK 242- Chi phí trả trước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4………………………….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lập biểu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.... tháng ....năm ....</w:t>
      </w:r>
      <w:r>
        <w:rPr>
          <w:rFonts w:ascii="Arial" w:hAnsi="Arial" w:cs="Arial"/>
          <w:sz w:val="20"/>
          <w:sz-cs w:val="20"/>
        </w:rPr>
        <w:t xml:space="preserve"> 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Địa chỉ: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