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B01 - DNNKLT</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BÁO CÁO TÌNH HÌNH TÀI CHÍNH</w:t>
      </w:r>
    </w:p>
    <w:p>
      <w:pPr>
        <w:jc w:val="center"/>
        <w:spacing w:before="120"/>
      </w:pPr>
      <w:r>
        <w:rPr>
          <w:rFonts w:ascii="Arial" w:hAnsi="Arial" w:cs="Arial"/>
          <w:sz w:val="20"/>
          <w:sz-cs w:val="20"/>
          <w:i/>
        </w:rPr>
        <w:t xml:space="preserve">Tại ngày ... tháng... năm ...</w:t>
      </w:r>
    </w:p>
    <w:p>
      <w:pPr>
        <w:jc w:val="center"/>
        <w:spacing w:before="120"/>
      </w:pPr>
      <w:r>
        <w:rPr>
          <w:rFonts w:ascii="Arial" w:hAnsi="Arial" w:cs="Arial"/>
          <w:sz w:val="20"/>
          <w:sz-cs w:val="20"/>
          <w:b/>
        </w:rPr>
        <w:t xml:space="preserve">(Áp dụng cho doanh nghiệp không đáp ứng giả định hoạt động liên tục)</w:t>
      </w:r>
    </w:p>
    <w:p>
      <w:pPr>
        <w:jc w:val="right"/>
        <w:spacing w:before="120"/>
      </w:pPr>
      <w:r>
        <w:rPr>
          <w:rFonts w:ascii="Arial" w:hAnsi="Arial" w:cs="Arial"/>
          <w:sz w:val="20"/>
          <w:sz-cs w:val="20"/>
          <w:i/>
        </w:rPr>
        <w:t xml:space="preserve">Đơn vị tính: ………….</w:t>
      </w:r>
      <w:r>
        <w:rPr>
          <w:rFonts w:ascii="Arial" w:hAnsi="Arial" w:cs="Arial"/>
          <w:sz w:val="20"/>
          <w:sz-cs w:val="20"/>
        </w:rPr>
        <w:t xml:space="preserve"/>
      </w:r>
    </w:p>
    <w:p>
      <w:pPr>
        <w:jc w:val="center"/>
        <w:spacing w:before="120"/>
      </w:pPr>
      <w:r>
        <w:rPr>
          <w:rFonts w:ascii="Arial" w:hAnsi="Arial" w:cs="Arial"/>
          <w:sz w:val="20"/>
          <w:sz-cs w:val="20"/>
          <w:b/>
        </w:rPr>
        <w:t xml:space="preserve">CHỈ TIÊU</w:t>
      </w:r>
    </w:p>
    <w:p>
      <w:pPr>
        <w:jc w:val="center"/>
        <w:spacing w:before="120"/>
      </w:pPr>
      <w:r>
        <w:rPr>
          <w:rFonts w:ascii="Arial" w:hAnsi="Arial" w:cs="Arial"/>
          <w:sz w:val="20"/>
          <w:sz-cs w:val="20"/>
          <w:b/>
        </w:rPr>
        <w:t xml:space="preserve">Mã số</w:t>
      </w:r>
    </w:p>
    <w:p>
      <w:pPr>
        <w:jc w:val="center"/>
        <w:spacing w:before="120"/>
      </w:pPr>
      <w:r>
        <w:rPr>
          <w:rFonts w:ascii="Arial" w:hAnsi="Arial" w:cs="Arial"/>
          <w:sz w:val="20"/>
          <w:sz-cs w:val="20"/>
          <w:b/>
        </w:rPr>
        <w:t xml:space="preserve">Thuyết minh</w:t>
      </w:r>
    </w:p>
    <w:p>
      <w:pPr>
        <w:jc w:val="center"/>
        <w:spacing w:before="120"/>
      </w:pPr>
      <w:r>
        <w:rPr>
          <w:rFonts w:ascii="Arial" w:hAnsi="Arial" w:cs="Arial"/>
          <w:sz w:val="20"/>
          <w:sz-cs w:val="20"/>
          <w:b/>
        </w:rPr>
        <w:t xml:space="preserve">Số cuối năm</w:t>
      </w:r>
    </w:p>
    <w:p>
      <w:pPr>
        <w:jc w:val="center"/>
        <w:spacing w:before="120"/>
      </w:pPr>
      <w:r>
        <w:rPr>
          <w:rFonts w:ascii="Arial" w:hAnsi="Arial" w:cs="Arial"/>
          <w:sz w:val="20"/>
          <w:sz-cs w:val="20"/>
          <w:b/>
        </w:rPr>
        <w:t xml:space="preserve">Số đầu năm</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3</w:t>
      </w:r>
    </w:p>
    <w:p>
      <w:pPr>
        <w:jc w:val="center"/>
        <w:spacing w:before="120"/>
      </w:pPr>
      <w:r>
        <w:rPr>
          <w:rFonts w:ascii="Arial" w:hAnsi="Arial" w:cs="Arial"/>
          <w:sz w:val="20"/>
          <w:sz-cs w:val="20"/>
        </w:rPr>
        <w:t xml:space="preserve">4</w:t>
      </w:r>
    </w:p>
    <w:p>
      <w:pPr>
        <w:jc w:val="center"/>
        <w:spacing w:before="120"/>
      </w:pPr>
      <w:r>
        <w:rPr>
          <w:rFonts w:ascii="Arial" w:hAnsi="Arial" w:cs="Arial"/>
          <w:sz w:val="20"/>
          <w:sz-cs w:val="20"/>
        </w:rPr>
        <w:t xml:space="preserve">5</w:t>
      </w:r>
    </w:p>
    <w:p>
      <w:pPr>
        <w:jc w:val="center"/>
        <w:spacing w:before="120"/>
      </w:pPr>
      <w:r>
        <w:rPr>
          <w:rFonts w:ascii="Arial" w:hAnsi="Arial" w:cs="Arial"/>
          <w:sz w:val="20"/>
          <w:sz-cs w:val="20"/>
          <w:b/>
        </w:rPr>
        <w:t xml:space="preserve">TÀI SẢN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 Tiền và các khoản tương đ</w:t>
      </w:r>
      <w:r>
        <w:rPr>
          <w:rFonts w:ascii="Arial" w:hAnsi="Arial" w:cs="Arial"/>
          <w:sz w:val="20"/>
          <w:sz-cs w:val="20"/>
          <w:b/>
        </w:rPr>
        <w:t xml:space="preserve">ươ</w:t>
      </w:r>
      <w:r>
        <w:rPr>
          <w:rFonts w:ascii="Arial" w:hAnsi="Arial" w:cs="Arial"/>
          <w:sz w:val="20"/>
          <w:sz-cs w:val="20"/>
          <w:b/>
        </w:rPr>
        <w:t xml:space="preserve">ng tiền</w:t>
      </w:r>
    </w:p>
    <w:p>
      <w:pPr>
        <w:jc w:val="center"/>
        <w:spacing w:before="120"/>
      </w:pPr>
      <w:r>
        <w:rPr>
          <w:rFonts w:ascii="Arial" w:hAnsi="Arial" w:cs="Arial"/>
          <w:sz w:val="20"/>
          <w:sz-cs w:val="20"/>
          <w:b/>
        </w:rPr>
        <w:t xml:space="preserve">110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 Đầu tư tài chính</w:t>
      </w:r>
    </w:p>
    <w:p>
      <w:pPr>
        <w:spacing w:before="120"/>
      </w:pPr>
      <w:r>
        <w:rPr>
          <w:rFonts w:ascii="Arial" w:hAnsi="Arial" w:cs="Arial"/>
          <w:sz w:val="20"/>
          <w:sz-cs w:val="20"/>
        </w:rPr>
        <w:t xml:space="preserve">1. Chứng k</w:t>
      </w:r>
      <w:r>
        <w:rPr>
          <w:rFonts w:ascii="Arial" w:hAnsi="Arial" w:cs="Arial"/>
          <w:sz w:val="20"/>
          <w:sz-cs w:val="20"/>
        </w:rPr>
        <w:t xml:space="preserve">hoán</w:t>
      </w:r>
      <w:r>
        <w:rPr>
          <w:rFonts w:ascii="Arial" w:hAnsi="Arial" w:cs="Arial"/>
          <w:sz w:val="20"/>
          <w:sz-cs w:val="20"/>
        </w:rPr>
        <w:t xml:space="preserve"> kinh doanh</w:t>
      </w:r>
    </w:p>
    <w:p>
      <w:pPr>
        <w:spacing w:before="120"/>
      </w:pPr>
      <w:r>
        <w:rPr>
          <w:rFonts w:ascii="Arial" w:hAnsi="Arial" w:cs="Arial"/>
          <w:sz w:val="20"/>
          <w:sz-cs w:val="20"/>
        </w:rPr>
        <w:t xml:space="preserve">2. Đầu tư nắm giữ đến ngày đáo hạn</w:t>
      </w:r>
    </w:p>
    <w:p>
      <w:pPr>
        <w:jc w:val="center"/>
        <w:spacing w:before="120"/>
      </w:pPr>
      <w:r>
        <w:rPr>
          <w:rFonts w:ascii="Arial" w:hAnsi="Arial" w:cs="Arial"/>
          <w:sz w:val="20"/>
          <w:sz-cs w:val="20"/>
        </w:rPr>
        <w:t xml:space="preserve">3. Đầu tư góp vốn vào đơn vị khác</w:t>
      </w:r>
    </w:p>
    <w:p>
      <w:pPr>
        <w:jc w:val="center"/>
        <w:spacing w:before="120"/>
      </w:pPr>
      <w:r>
        <w:rPr>
          <w:rFonts w:ascii="Arial" w:hAnsi="Arial" w:cs="Arial"/>
          <w:sz w:val="20"/>
          <w:sz-cs w:val="20"/>
          <w:b/>
        </w:rPr>
        <w:t xml:space="preserve">120</w:t>
      </w:r>
    </w:p>
    <w:p>
      <w:pPr>
        <w:jc w:val="center"/>
        <w:spacing w:before="120"/>
      </w:pPr>
      <w:r>
        <w:rPr>
          <w:rFonts w:ascii="Arial" w:hAnsi="Arial" w:cs="Arial"/>
          <w:sz w:val="20"/>
          <w:sz-cs w:val="20"/>
        </w:rPr>
        <w:t xml:space="preserve">121</w:t>
      </w:r>
    </w:p>
    <w:p>
      <w:pPr>
        <w:jc w:val="center"/>
        <w:spacing w:before="120"/>
      </w:pPr>
      <w:r>
        <w:rPr>
          <w:rFonts w:ascii="Arial" w:hAnsi="Arial" w:cs="Arial"/>
          <w:sz w:val="20"/>
          <w:sz-cs w:val="20"/>
        </w:rPr>
        <w:t xml:space="preserve">122</w:t>
      </w:r>
    </w:p>
    <w:p>
      <w:pPr>
        <w:jc w:val="center"/>
        <w:spacing w:before="120"/>
      </w:pPr>
      <w:r>
        <w:rPr>
          <w:rFonts w:ascii="Arial" w:hAnsi="Arial" w:cs="Arial"/>
          <w:sz w:val="20"/>
          <w:sz-cs w:val="20"/>
        </w:rPr>
        <w:t xml:space="preserve">123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III. Các khoản phải thu</w:t>
      </w:r>
    </w:p>
    <w:p>
      <w:pPr>
        <w:spacing w:before="120"/>
      </w:pPr>
      <w:r>
        <w:rPr>
          <w:rFonts w:ascii="Arial" w:hAnsi="Arial" w:cs="Arial"/>
          <w:sz w:val="20"/>
          <w:sz-cs w:val="20"/>
        </w:rPr>
        <w:t xml:space="preserve">1. Phải thu của khách hàng</w:t>
      </w:r>
    </w:p>
    <w:p>
      <w:pPr>
        <w:spacing w:before="120"/>
      </w:pPr>
      <w:r>
        <w:rPr>
          <w:rFonts w:ascii="Arial" w:hAnsi="Arial" w:cs="Arial"/>
          <w:sz w:val="20"/>
          <w:sz-cs w:val="20"/>
        </w:rPr>
        <w:t xml:space="preserve">2. Trả trước cho người bán</w:t>
      </w:r>
    </w:p>
    <w:p>
      <w:pPr>
        <w:spacing w:before="120"/>
      </w:pPr>
      <w:r>
        <w:rPr>
          <w:rFonts w:ascii="Arial" w:hAnsi="Arial" w:cs="Arial"/>
          <w:sz w:val="20"/>
          <w:sz-cs w:val="20"/>
        </w:rPr>
        <w:t xml:space="preserve">3. Vốn kinh doanh ở đơn vị trực thuộc</w:t>
      </w:r>
    </w:p>
    <w:p>
      <w:pPr>
        <w:spacing w:before="120"/>
      </w:pPr>
      <w:r>
        <w:rPr>
          <w:rFonts w:ascii="Arial" w:hAnsi="Arial" w:cs="Arial"/>
          <w:sz w:val="20"/>
          <w:sz-cs w:val="20"/>
        </w:rPr>
        <w:t xml:space="preserve">4. Phải thu khác</w:t>
      </w:r>
    </w:p>
    <w:p>
      <w:pPr>
        <w:jc w:val="center"/>
        <w:spacing w:before="120"/>
      </w:pPr>
      <w:r>
        <w:rPr>
          <w:rFonts w:ascii="Arial" w:hAnsi="Arial" w:cs="Arial"/>
          <w:sz w:val="20"/>
          <w:sz-cs w:val="20"/>
        </w:rPr>
        <w:t xml:space="preserve">5. Tài sản thiếu chờ xử lý</w:t>
      </w:r>
    </w:p>
    <w:p>
      <w:pPr>
        <w:jc w:val="center"/>
        <w:spacing w:before="120"/>
      </w:pPr>
      <w:r>
        <w:rPr>
          <w:rFonts w:ascii="Arial" w:hAnsi="Arial" w:cs="Arial"/>
          <w:sz w:val="20"/>
          <w:sz-cs w:val="20"/>
          <w:b/>
        </w:rPr>
        <w:t xml:space="preserve">130</w:t>
      </w:r>
    </w:p>
    <w:p>
      <w:pPr>
        <w:jc w:val="center"/>
        <w:spacing w:before="120"/>
      </w:pPr>
      <w:r>
        <w:rPr>
          <w:rFonts w:ascii="Arial" w:hAnsi="Arial" w:cs="Arial"/>
          <w:sz w:val="20"/>
          <w:sz-cs w:val="20"/>
        </w:rPr>
        <w:t xml:space="preserve">131</w:t>
      </w:r>
    </w:p>
    <w:p>
      <w:pPr>
        <w:jc w:val="center"/>
        <w:spacing w:before="120"/>
      </w:pPr>
      <w:r>
        <w:rPr>
          <w:rFonts w:ascii="Arial" w:hAnsi="Arial" w:cs="Arial"/>
          <w:sz w:val="20"/>
          <w:sz-cs w:val="20"/>
        </w:rPr>
        <w:t xml:space="preserve">132</w:t>
      </w:r>
    </w:p>
    <w:p>
      <w:pPr>
        <w:jc w:val="center"/>
        <w:spacing w:before="120"/>
      </w:pPr>
      <w:r>
        <w:rPr>
          <w:rFonts w:ascii="Arial" w:hAnsi="Arial" w:cs="Arial"/>
          <w:sz w:val="20"/>
          <w:sz-cs w:val="20"/>
        </w:rPr>
        <w:t xml:space="preserve">133</w:t>
      </w:r>
    </w:p>
    <w:p>
      <w:pPr>
        <w:jc w:val="center"/>
        <w:spacing w:before="120"/>
      </w:pPr>
      <w:r>
        <w:rPr>
          <w:rFonts w:ascii="Arial" w:hAnsi="Arial" w:cs="Arial"/>
          <w:sz w:val="20"/>
          <w:sz-cs w:val="20"/>
        </w:rPr>
        <w:t xml:space="preserve">134</w:t>
      </w:r>
    </w:p>
    <w:p>
      <w:pPr>
        <w:jc w:val="center"/>
        <w:spacing w:before="120"/>
      </w:pPr>
      <w:r>
        <w:rPr>
          <w:rFonts w:ascii="Arial" w:hAnsi="Arial" w:cs="Arial"/>
          <w:sz w:val="20"/>
          <w:sz-cs w:val="20"/>
        </w:rPr>
        <w:t xml:space="preserve">135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IV. Hàng tồn kho</w:t>
      </w:r>
    </w:p>
    <w:p>
      <w:pPr>
        <w:jc w:val="center"/>
        <w:spacing w:before="120"/>
      </w:pPr>
      <w:r>
        <w:rPr>
          <w:rFonts w:ascii="Arial" w:hAnsi="Arial" w:cs="Arial"/>
          <w:sz w:val="20"/>
          <w:sz-cs w:val="20"/>
          <w:b/>
        </w:rPr>
        <w:t xml:space="preserve">140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V. Tài sản cố định và bất động sản đầu tư</w:t>
      </w:r>
    </w:p>
    <w:p>
      <w:pPr>
        <w:jc w:val="center"/>
        <w:spacing w:before="120"/>
      </w:pPr>
      <w:r>
        <w:rPr>
          <w:rFonts w:ascii="Arial" w:hAnsi="Arial" w:cs="Arial"/>
          <w:sz w:val="20"/>
          <w:sz-cs w:val="20"/>
          <w:b/>
        </w:rPr>
        <w:t xml:space="preserve">150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VI. Xây dựng cơ bản dở dang</w:t>
      </w:r>
    </w:p>
    <w:p>
      <w:pPr>
        <w:jc w:val="center"/>
        <w:spacing w:before="120"/>
      </w:pPr>
      <w:r>
        <w:rPr>
          <w:rFonts w:ascii="Arial" w:hAnsi="Arial" w:cs="Arial"/>
          <w:sz w:val="20"/>
          <w:sz-cs w:val="20"/>
          <w:b/>
        </w:rPr>
        <w:t xml:space="preserve">160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VII. Tài sản khác</w:t>
      </w:r>
    </w:p>
    <w:p>
      <w:pPr>
        <w:spacing w:before="120"/>
      </w:pPr>
      <w:r>
        <w:rPr>
          <w:rFonts w:ascii="Arial" w:hAnsi="Arial" w:cs="Arial"/>
          <w:sz w:val="20"/>
          <w:sz-cs w:val="20"/>
        </w:rPr>
        <w:t xml:space="preserve">1. Thuế GTGT được khấu trừ</w:t>
      </w:r>
    </w:p>
    <w:p>
      <w:pPr>
        <w:jc w:val="center"/>
        <w:spacing w:before="120"/>
      </w:pPr>
      <w:r>
        <w:rPr>
          <w:rFonts w:ascii="Arial" w:hAnsi="Arial" w:cs="Arial"/>
          <w:sz w:val="20"/>
          <w:sz-cs w:val="20"/>
        </w:rPr>
        <w:t xml:space="preserve">2. Tài sản khác</w:t>
      </w:r>
    </w:p>
    <w:p>
      <w:pPr>
        <w:jc w:val="center"/>
        <w:spacing w:before="120"/>
      </w:pPr>
      <w:r>
        <w:rPr>
          <w:rFonts w:ascii="Arial" w:hAnsi="Arial" w:cs="Arial"/>
          <w:sz w:val="20"/>
          <w:sz-cs w:val="20"/>
          <w:b/>
        </w:rPr>
        <w:t xml:space="preserve">170</w:t>
      </w:r>
    </w:p>
    <w:p>
      <w:pPr>
        <w:jc w:val="center"/>
        <w:spacing w:before="120"/>
      </w:pPr>
      <w:r>
        <w:rPr>
          <w:rFonts w:ascii="Arial" w:hAnsi="Arial" w:cs="Arial"/>
          <w:sz w:val="20"/>
          <w:sz-cs w:val="20"/>
        </w:rPr>
        <w:t xml:space="preserve">171</w:t>
      </w:r>
    </w:p>
    <w:p>
      <w:pPr>
        <w:jc w:val="center"/>
        <w:spacing w:before="120"/>
      </w:pPr>
      <w:r>
        <w:rPr>
          <w:rFonts w:ascii="Arial" w:hAnsi="Arial" w:cs="Arial"/>
          <w:sz w:val="20"/>
          <w:sz-cs w:val="20"/>
        </w:rPr>
        <w:t xml:space="preserve">172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TỔNG CỘNG TÀI SẢN</w:t>
        <w:br/>
        <w:t xml:space="preserve">(200=110+120+130+140+150+160+170)</w:t>
      </w:r>
    </w:p>
    <w:p>
      <w:pPr>
        <w:jc w:val="center"/>
        <w:spacing w:before="120"/>
      </w:pPr>
      <w:r>
        <w:rPr>
          <w:rFonts w:ascii="Arial" w:hAnsi="Arial" w:cs="Arial"/>
          <w:sz w:val="20"/>
          <w:sz-cs w:val="20"/>
          <w:b/>
        </w:rPr>
        <w:t xml:space="preserve">200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NGUỒN VỐN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 Nợ phải trả</w:t>
      </w:r>
    </w:p>
    <w:p>
      <w:pPr>
        <w:jc w:val="center"/>
        <w:spacing w:before="120"/>
      </w:pPr>
      <w:r>
        <w:rPr>
          <w:rFonts w:ascii="Arial" w:hAnsi="Arial" w:cs="Arial"/>
          <w:sz w:val="20"/>
          <w:sz-cs w:val="20"/>
          <w:b/>
        </w:rPr>
        <w:t xml:space="preserve">300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Phải trả người bán</w:t>
      </w:r>
    </w:p>
    <w:p>
      <w:pPr>
        <w:jc w:val="center"/>
        <w:spacing w:before="120"/>
      </w:pPr>
      <w:r>
        <w:rPr>
          <w:rFonts w:ascii="Arial" w:hAnsi="Arial" w:cs="Arial"/>
          <w:sz w:val="20"/>
          <w:sz-cs w:val="20"/>
        </w:rPr>
        <w:t xml:space="preserve">311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Người mua trả tiền trước</w:t>
      </w:r>
    </w:p>
    <w:p>
      <w:pPr>
        <w:jc w:val="center"/>
        <w:spacing w:before="120"/>
      </w:pPr>
      <w:r>
        <w:rPr>
          <w:rFonts w:ascii="Arial" w:hAnsi="Arial" w:cs="Arial"/>
          <w:sz w:val="20"/>
          <w:sz-cs w:val="20"/>
        </w:rPr>
        <w:t xml:space="preserve">312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Thuế và các khoản phải nộp Nhà nước</w:t>
      </w:r>
    </w:p>
    <w:p>
      <w:pPr>
        <w:jc w:val="center"/>
        <w:spacing w:before="120"/>
      </w:pPr>
      <w:r>
        <w:rPr>
          <w:rFonts w:ascii="Arial" w:hAnsi="Arial" w:cs="Arial"/>
          <w:sz w:val="20"/>
          <w:sz-cs w:val="20"/>
        </w:rPr>
        <w:t xml:space="preserve">313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Phải trả người lao động</w:t>
      </w:r>
    </w:p>
    <w:p>
      <w:pPr>
        <w:jc w:val="center"/>
        <w:spacing w:before="120"/>
      </w:pPr>
      <w:r>
        <w:rPr>
          <w:rFonts w:ascii="Arial" w:hAnsi="Arial" w:cs="Arial"/>
          <w:sz w:val="20"/>
          <w:sz-cs w:val="20"/>
        </w:rPr>
        <w:t xml:space="preserve">314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 Phải trả khác</w:t>
      </w:r>
    </w:p>
    <w:p>
      <w:pPr>
        <w:jc w:val="center"/>
        <w:spacing w:before="120"/>
      </w:pPr>
      <w:r>
        <w:rPr>
          <w:rFonts w:ascii="Arial" w:hAnsi="Arial" w:cs="Arial"/>
          <w:sz w:val="20"/>
          <w:sz-cs w:val="20"/>
        </w:rPr>
        <w:t xml:space="preserve">315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6. Vay và nợ thuê tài chính</w:t>
      </w:r>
    </w:p>
    <w:p>
      <w:pPr>
        <w:jc w:val="center"/>
        <w:spacing w:before="120"/>
      </w:pPr>
      <w:r>
        <w:rPr>
          <w:rFonts w:ascii="Arial" w:hAnsi="Arial" w:cs="Arial"/>
          <w:sz w:val="20"/>
          <w:sz-cs w:val="20"/>
        </w:rPr>
        <w:t xml:space="preserve">316</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7. Phải trả nội bộ về vốn kinh doanh</w:t>
      </w:r>
    </w:p>
    <w:p>
      <w:pPr>
        <w:jc w:val="center"/>
        <w:spacing w:before="120"/>
      </w:pPr>
      <w:r>
        <w:rPr>
          <w:rFonts w:ascii="Arial" w:hAnsi="Arial" w:cs="Arial"/>
          <w:sz w:val="20"/>
          <w:sz-cs w:val="20"/>
        </w:rPr>
        <w:t xml:space="preserve">317</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8. Dự phòng phải trả</w:t>
      </w:r>
    </w:p>
    <w:p>
      <w:pPr>
        <w:jc w:val="center"/>
        <w:spacing w:before="120"/>
      </w:pPr>
      <w:r>
        <w:rPr>
          <w:rFonts w:ascii="Arial" w:hAnsi="Arial" w:cs="Arial"/>
          <w:sz w:val="20"/>
          <w:sz-cs w:val="20"/>
        </w:rPr>
        <w:t xml:space="preserve">318</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9. Quỹ khen thưởng, phúc lợi</w:t>
      </w:r>
    </w:p>
    <w:p>
      <w:pPr>
        <w:jc w:val="center"/>
        <w:spacing w:before="120"/>
      </w:pPr>
      <w:r>
        <w:rPr>
          <w:rFonts w:ascii="Arial" w:hAnsi="Arial" w:cs="Arial"/>
          <w:sz w:val="20"/>
          <w:sz-cs w:val="20"/>
        </w:rPr>
        <w:t xml:space="preserve">319</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10. Quỹ phát triển khoa học và công nghệ</w:t>
      </w:r>
    </w:p>
    <w:p>
      <w:pPr>
        <w:jc w:val="center"/>
        <w:spacing w:before="120"/>
      </w:pPr>
      <w:r>
        <w:rPr>
          <w:rFonts w:ascii="Arial" w:hAnsi="Arial" w:cs="Arial"/>
          <w:sz w:val="20"/>
          <w:sz-cs w:val="20"/>
        </w:rPr>
        <w:t xml:space="preserve">320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 Vốn chủ sở hữu</w:t>
      </w:r>
    </w:p>
    <w:p>
      <w:pPr>
        <w:jc w:val="center"/>
        <w:spacing w:before="120"/>
      </w:pPr>
      <w:r>
        <w:rPr>
          <w:rFonts w:ascii="Arial" w:hAnsi="Arial" w:cs="Arial"/>
          <w:sz w:val="20"/>
          <w:sz-cs w:val="20"/>
          <w:b/>
        </w:rPr>
        <w:t xml:space="preserve">400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Vốn góp của chủ sở hữu</w:t>
      </w:r>
    </w:p>
    <w:p>
      <w:pPr>
        <w:jc w:val="center"/>
        <w:spacing w:before="120"/>
      </w:pPr>
      <w:r>
        <w:rPr>
          <w:rFonts w:ascii="Arial" w:hAnsi="Arial" w:cs="Arial"/>
          <w:sz w:val="20"/>
          <w:sz-cs w:val="20"/>
        </w:rPr>
        <w:t xml:space="preserve">411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Thặng dư vốn cổ phần</w:t>
      </w:r>
    </w:p>
    <w:p>
      <w:pPr>
        <w:jc w:val="center"/>
        <w:spacing w:before="120"/>
      </w:pPr>
      <w:r>
        <w:rPr>
          <w:rFonts w:ascii="Arial" w:hAnsi="Arial" w:cs="Arial"/>
          <w:sz w:val="20"/>
          <w:sz-cs w:val="20"/>
        </w:rPr>
        <w:t xml:space="preserve">412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Vốn khác của chủ sở hữu</w:t>
      </w:r>
    </w:p>
    <w:p>
      <w:pPr>
        <w:jc w:val="center"/>
        <w:spacing w:before="120"/>
      </w:pPr>
      <w:r>
        <w:rPr>
          <w:rFonts w:ascii="Arial" w:hAnsi="Arial" w:cs="Arial"/>
          <w:sz w:val="20"/>
          <w:sz-cs w:val="20"/>
        </w:rPr>
        <w:t xml:space="preserve">413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Cổ phiếu quỹ (*)</w:t>
      </w:r>
    </w:p>
    <w:p>
      <w:pPr>
        <w:jc w:val="center"/>
        <w:spacing w:before="120"/>
      </w:pPr>
      <w:r>
        <w:rPr>
          <w:rFonts w:ascii="Arial" w:hAnsi="Arial" w:cs="Arial"/>
          <w:sz w:val="20"/>
          <w:sz-cs w:val="20"/>
        </w:rPr>
        <w:t xml:space="preserve">414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5. Chênh lệch tỷ giá hối đoái</w:t>
      </w:r>
    </w:p>
    <w:p>
      <w:pPr>
        <w:jc w:val="center"/>
        <w:spacing w:before="120"/>
      </w:pPr>
      <w:r>
        <w:rPr>
          <w:rFonts w:ascii="Arial" w:hAnsi="Arial" w:cs="Arial"/>
          <w:sz w:val="20"/>
          <w:sz-cs w:val="20"/>
        </w:rPr>
        <w:t xml:space="preserve">415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6. Các quỹ thuộc vốn chủ sở hữu</w:t>
      </w:r>
    </w:p>
    <w:p>
      <w:pPr>
        <w:jc w:val="center"/>
        <w:spacing w:before="120"/>
      </w:pPr>
      <w:r>
        <w:rPr>
          <w:rFonts w:ascii="Arial" w:hAnsi="Arial" w:cs="Arial"/>
          <w:sz w:val="20"/>
          <w:sz-cs w:val="20"/>
        </w:rPr>
        <w:t xml:space="preserve">416</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7. Lợi nhuận sau thuế chưa phân phối</w:t>
      </w:r>
    </w:p>
    <w:p>
      <w:pPr>
        <w:jc w:val="center"/>
        <w:spacing w:before="120"/>
      </w:pPr>
      <w:r>
        <w:rPr>
          <w:rFonts w:ascii="Arial" w:hAnsi="Arial" w:cs="Arial"/>
          <w:sz w:val="20"/>
          <w:sz-cs w:val="20"/>
        </w:rPr>
        <w:t xml:space="preserve">417</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TỔNG CỘNG NGUỒN VỐN</w:t>
        <w:br/>
        <w:t xml:space="preserve">(500=300+400)</w:t>
      </w:r>
    </w:p>
    <w:p>
      <w:pPr>
        <w:jc w:val="center"/>
        <w:spacing w:before="120"/>
      </w:pPr>
      <w:r>
        <w:rPr>
          <w:rFonts w:ascii="Arial" w:hAnsi="Arial" w:cs="Arial"/>
          <w:sz w:val="20"/>
          <w:sz-cs w:val="20"/>
          <w:b/>
        </w:rPr>
        <w:t xml:space="preserve">500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i/>
        </w:rPr>
        <w:t xml:space="preserve">(1) Những chỉ tiêu không có số liệu được miễn trình bày nhưng không được đánh lại “Mã số” chỉ tiêu.</w:t>
      </w:r>
    </w:p>
    <w:p>
      <w:pPr>
        <w:spacing w:before="120"/>
      </w:pPr>
      <w:r>
        <w:rPr>
          <w:rFonts w:ascii="Arial" w:hAnsi="Arial" w:cs="Arial"/>
          <w:sz w:val="20"/>
          <w:sz-cs w:val="20"/>
          <w:i/>
        </w:rPr>
        <w:t xml:space="preserve">(2) Số liệu trong các chỉ tiêu có dấu (*) được ghi bằng số âm dưới hình thức ghi trong ngoặc đơn (…).</w:t>
      </w:r>
    </w:p>
    <w:p>
      <w:pPr>
        <w:spacing w:before="120"/>
      </w:pPr>
      <w:r>
        <w:rPr>
          <w:rFonts w:ascii="Arial" w:hAnsi="Arial" w:cs="Arial"/>
          <w:sz w:val="20"/>
          <w:sz-cs w:val="20"/>
          <w:i/>
        </w:rPr>
        <w:t xml:space="preserve">(3) Đối với doanh nghiệp có kỳ kế toán năm là năm dương lịch (X) thì “Số cuối năm” có thể ghi là “31.12.X”; “Số đầu năm” có thể ghi là “01.01.X”.</w:t>
      </w:r>
    </w:p>
    <w:p>
      <w:pPr>
        <w:spacing w:before="120"/>
      </w:pPr>
      <w:r>
        <w:rPr>
          <w:rFonts w:ascii="Arial" w:hAnsi="Arial" w:cs="Arial"/>
          <w:sz w:val="20"/>
          <w:sz-cs w:val="20"/>
          <w:i/>
        </w:rPr>
        <w:t xml:space="preserve">(4) Đối với trường hợp thuê dịch vụ làm kế toán, làm kế toán trưởng thì phải ghi rõ số Giấy chứng nhận đăng ký hành nghề dịch vụ kế toán, tên đơn vị cung </w:t>
      </w:r>
      <w:r>
        <w:rPr>
          <w:rFonts w:ascii="Arial" w:hAnsi="Arial" w:cs="Arial"/>
          <w:sz w:val="20"/>
          <w:sz-cs w:val="20"/>
          <w:i/>
        </w:rPr>
        <w:t xml:space="preserve">cấp</w:t>
      </w:r>
      <w:r>
        <w:rPr>
          <w:rFonts w:ascii="Arial" w:hAnsi="Arial" w:cs="Arial"/>
          <w:sz w:val="20"/>
          <w:sz-cs w:val="20"/>
          <w:i/>
        </w:rPr>
        <w:t xml:space="preserve">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4. Báo cáo kết quả hoạt động </w:t>
      </w:r>
      <w:r>
        <w:rPr>
          <w:rFonts w:ascii="Arial" w:hAnsi="Arial" w:cs="Arial"/>
          <w:sz w:val="20"/>
          <w:sz-cs w:val="20"/>
          <w:b/>
        </w:rPr>
        <w:t xml:space="preserve">kinh</w:t>
      </w:r>
      <w:r>
        <w:rPr>
          <w:rFonts w:ascii="Arial" w:hAnsi="Arial" w:cs="Arial"/>
          <w:sz w:val="20"/>
          <w:sz-cs w:val="20"/>
          <w:b/>
        </w:rPr>
        <w:t xml:space="preserve"> doanh (Mẫu số B02 - DNN)</w:t>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