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B01 - DNSN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BÁO CÁO TÌNH HÌNH TÀI CHÍNH</w:t>
      </w:r>
    </w:p>
    <w:p>
      <w:pPr>
        <w:jc w:val="center"/>
        <w:spacing w:before="120"/>
      </w:pPr>
      <w:r>
        <w:rPr>
          <w:rFonts w:ascii="Arial" w:hAnsi="Arial" w:cs="Arial"/>
          <w:sz w:val="20"/>
          <w:sz-cs w:val="20"/>
          <w:i/>
        </w:rPr>
        <w:t xml:space="preserve">Tại ngày ... tháng... năm ...</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Số cuối năm</w:t>
      </w:r>
    </w:p>
    <w:p>
      <w:pPr>
        <w:jc w:val="center"/>
        <w:spacing w:before="120"/>
      </w:pPr>
      <w:r>
        <w:rPr>
          <w:rFonts w:ascii="Arial" w:hAnsi="Arial" w:cs="Arial"/>
          <w:sz w:val="20"/>
          <w:sz-cs w:val="20"/>
          <w:b/>
        </w:rPr>
        <w:t xml:space="preserve">Số đầu năm</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jc w:val="center"/>
        <w:spacing w:before="120"/>
      </w:pPr>
      <w:r>
        <w:rPr>
          <w:rFonts w:ascii="Arial" w:hAnsi="Arial" w:cs="Arial"/>
          <w:sz w:val="20"/>
          <w:sz-cs w:val="20"/>
          <w:b/>
        </w:rPr>
        <w:t xml:space="preserve">TÀI SẢN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Tiền và các khoản tương đương tiền</w:t>
      </w:r>
    </w:p>
    <w:p>
      <w:pPr>
        <w:spacing w:before="120"/>
      </w:pPr>
      <w:r>
        <w:rPr>
          <w:rFonts w:ascii="Arial" w:hAnsi="Arial" w:cs="Arial"/>
          <w:sz w:val="20"/>
          <w:sz-cs w:val="20"/>
        </w:rPr>
        <w:t xml:space="preserve">2. Các khoản đầu tư</w:t>
      </w:r>
    </w:p>
    <w:p>
      <w:pPr>
        <w:spacing w:before="120"/>
      </w:pPr>
      <w:r>
        <w:rPr>
          <w:rFonts w:ascii="Arial" w:hAnsi="Arial" w:cs="Arial"/>
          <w:sz w:val="20"/>
          <w:sz-cs w:val="20"/>
        </w:rPr>
        <w:t xml:space="preserve">3. Các khoản phải thu</w:t>
      </w:r>
    </w:p>
    <w:p>
      <w:pPr>
        <w:spacing w:before="120"/>
      </w:pPr>
      <w:r>
        <w:rPr>
          <w:rFonts w:ascii="Arial" w:hAnsi="Arial" w:cs="Arial"/>
          <w:sz w:val="20"/>
          <w:sz-cs w:val="20"/>
        </w:rPr>
        <w:t xml:space="preserve">4. Hàng tồn kho</w:t>
      </w:r>
    </w:p>
    <w:p>
      <w:pPr>
        <w:spacing w:before="120"/>
      </w:pPr>
      <w:r>
        <w:rPr>
          <w:rFonts w:ascii="Arial" w:hAnsi="Arial" w:cs="Arial"/>
          <w:sz w:val="20"/>
          <w:sz-cs w:val="20"/>
        </w:rPr>
        <w:t xml:space="preserve">5. Giá trị còn lại của TSCĐ và BĐSĐT</w:t>
      </w:r>
    </w:p>
    <w:p>
      <w:pPr>
        <w:spacing w:before="120"/>
      </w:pPr>
      <w:r>
        <w:rPr>
          <w:rFonts w:ascii="Arial" w:hAnsi="Arial" w:cs="Arial"/>
          <w:sz w:val="20"/>
          <w:sz-cs w:val="20"/>
        </w:rPr>
        <w:t xml:space="preserve">6. Tài sản khác</w:t>
      </w:r>
    </w:p>
    <w:p>
      <w:pPr>
        <w:jc w:val="center"/>
        <w:spacing w:before="120"/>
      </w:pPr>
      <w:r>
        <w:rPr>
          <w:rFonts w:ascii="Arial" w:hAnsi="Arial" w:cs="Arial"/>
          <w:sz w:val="20"/>
          <w:sz-cs w:val="20"/>
        </w:rPr>
        <w:t xml:space="preserve">110</w:t>
      </w:r>
    </w:p>
    <w:p>
      <w:pPr>
        <w:jc w:val="center"/>
        <w:spacing w:before="120"/>
      </w:pPr>
      <w:r>
        <w:rPr>
          <w:rFonts w:ascii="Arial" w:hAnsi="Arial" w:cs="Arial"/>
          <w:sz w:val="20"/>
          <w:sz-cs w:val="20"/>
        </w:rPr>
        <w:t xml:space="preserve">120</w:t>
      </w:r>
    </w:p>
    <w:p>
      <w:pPr>
        <w:jc w:val="center"/>
        <w:spacing w:before="120"/>
      </w:pPr>
      <w:r>
        <w:rPr>
          <w:rFonts w:ascii="Arial" w:hAnsi="Arial" w:cs="Arial"/>
          <w:sz w:val="20"/>
          <w:sz-cs w:val="20"/>
        </w:rPr>
        <w:t xml:space="preserve">130</w:t>
      </w:r>
    </w:p>
    <w:p>
      <w:pPr>
        <w:jc w:val="center"/>
        <w:spacing w:before="120"/>
      </w:pPr>
      <w:r>
        <w:rPr>
          <w:rFonts w:ascii="Arial" w:hAnsi="Arial" w:cs="Arial"/>
          <w:sz w:val="20"/>
          <w:sz-cs w:val="20"/>
        </w:rPr>
        <w:t xml:space="preserve">140</w:t>
      </w:r>
    </w:p>
    <w:p>
      <w:pPr>
        <w:jc w:val="center"/>
        <w:spacing w:before="120"/>
      </w:pPr>
      <w:r>
        <w:rPr>
          <w:rFonts w:ascii="Arial" w:hAnsi="Arial" w:cs="Arial"/>
          <w:sz w:val="20"/>
          <w:sz-cs w:val="20"/>
        </w:rPr>
        <w:t xml:space="preserve">150</w:t>
      </w:r>
    </w:p>
    <w:p>
      <w:pPr>
        <w:jc w:val="center"/>
        <w:spacing w:before="120"/>
      </w:pPr>
      <w:r>
        <w:rPr>
          <w:rFonts w:ascii="Arial" w:hAnsi="Arial" w:cs="Arial"/>
          <w:sz w:val="20"/>
          <w:sz-cs w:val="20"/>
        </w:rPr>
        <w:t xml:space="preserve">160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TÀI SẢN (200=110+120+130+140+150+160)</w:t>
      </w:r>
    </w:p>
    <w:p>
      <w:pPr>
        <w:jc w:val="center"/>
        <w:spacing w:before="120"/>
      </w:pPr>
      <w:r>
        <w:rPr>
          <w:rFonts w:ascii="Arial" w:hAnsi="Arial" w:cs="Arial"/>
          <w:sz w:val="20"/>
          <w:sz-cs w:val="20"/>
          <w:b/>
        </w:rPr>
        <w:t xml:space="preserve">200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NGUỒN VỐN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Nợ phải trả</w:t>
      </w:r>
    </w:p>
    <w:p>
      <w:pPr>
        <w:spacing w:before="120"/>
      </w:pPr>
      <w:r>
        <w:rPr>
          <w:rFonts w:ascii="Arial" w:hAnsi="Arial" w:cs="Arial"/>
          <w:sz w:val="20"/>
          <w:sz-cs w:val="20"/>
        </w:rPr>
        <w:t xml:space="preserve">1. Phải trả người bán</w:t>
      </w:r>
    </w:p>
    <w:p>
      <w:pPr>
        <w:spacing w:before="120"/>
      </w:pPr>
      <w:r>
        <w:rPr>
          <w:rFonts w:ascii="Arial" w:hAnsi="Arial" w:cs="Arial"/>
          <w:sz w:val="20"/>
          <w:sz-cs w:val="20"/>
        </w:rPr>
        <w:t xml:space="preserve">2. Người mua trả tiền trước</w:t>
      </w:r>
    </w:p>
    <w:p>
      <w:pPr>
        <w:spacing w:before="120"/>
      </w:pPr>
      <w:r>
        <w:rPr>
          <w:rFonts w:ascii="Arial" w:hAnsi="Arial" w:cs="Arial"/>
          <w:sz w:val="20"/>
          <w:sz-cs w:val="20"/>
        </w:rPr>
        <w:t xml:space="preserve">3. Thuế và các khoản phải nộp Nhà nước</w:t>
      </w:r>
    </w:p>
    <w:p>
      <w:pPr>
        <w:spacing w:before="120"/>
      </w:pPr>
      <w:r>
        <w:rPr>
          <w:rFonts w:ascii="Arial" w:hAnsi="Arial" w:cs="Arial"/>
          <w:sz w:val="20"/>
          <w:sz-cs w:val="20"/>
        </w:rPr>
        <w:t xml:space="preserve">4. Phải trả người lao động</w:t>
      </w:r>
    </w:p>
    <w:p>
      <w:pPr>
        <w:spacing w:before="120"/>
      </w:pPr>
      <w:r>
        <w:rPr>
          <w:rFonts w:ascii="Arial" w:hAnsi="Arial" w:cs="Arial"/>
          <w:sz w:val="20"/>
          <w:sz-cs w:val="20"/>
        </w:rPr>
        <w:t xml:space="preserve">5. Phải trả nợ vay</w:t>
      </w:r>
    </w:p>
    <w:p>
      <w:pPr>
        <w:spacing w:before="120"/>
      </w:pPr>
      <w:r>
        <w:rPr>
          <w:rFonts w:ascii="Arial" w:hAnsi="Arial" w:cs="Arial"/>
          <w:sz w:val="20"/>
          <w:sz-cs w:val="20"/>
        </w:rPr>
        <w:t xml:space="preserve">6. Phải trả khác</w:t>
      </w:r>
    </w:p>
    <w:p>
      <w:pPr>
        <w:spacing w:before="120"/>
      </w:pPr>
      <w:r>
        <w:rPr>
          <w:rFonts w:ascii="Arial" w:hAnsi="Arial" w:cs="Arial"/>
          <w:sz w:val="20"/>
          <w:sz-cs w:val="20"/>
          <w:b/>
        </w:rPr>
        <w:t xml:space="preserve">II. Vốn chủ sở hữu</w:t>
      </w:r>
    </w:p>
    <w:p>
      <w:pPr>
        <w:spacing w:before="120"/>
      </w:pPr>
      <w:r>
        <w:rPr>
          <w:rFonts w:ascii="Arial" w:hAnsi="Arial" w:cs="Arial"/>
          <w:sz w:val="20"/>
          <w:sz-cs w:val="20"/>
        </w:rPr>
        <w:t xml:space="preserve">1. Vốn đầu tư của chủ sở hữu</w:t>
      </w:r>
    </w:p>
    <w:p>
      <w:pPr>
        <w:spacing w:before="120"/>
      </w:pPr>
      <w:r>
        <w:rPr>
          <w:rFonts w:ascii="Arial" w:hAnsi="Arial" w:cs="Arial"/>
          <w:sz w:val="20"/>
          <w:sz-cs w:val="20"/>
        </w:rPr>
        <w:t xml:space="preserve">2. Lợi nhuận sau thuế chưa phân phối</w:t>
      </w:r>
    </w:p>
    <w:p>
      <w:pPr>
        <w:jc w:val="center"/>
        <w:spacing w:before="120"/>
      </w:pPr>
      <w:r>
        <w:rPr>
          <w:rFonts w:ascii="Arial" w:hAnsi="Arial" w:cs="Arial"/>
          <w:sz w:val="20"/>
          <w:sz-cs w:val="20"/>
        </w:rPr>
        <w:t xml:space="preserve">3. Các khoản mục khác thuộc vốn chủ sở hữu</w:t>
      </w:r>
    </w:p>
    <w:p>
      <w:pPr>
        <w:jc w:val="center"/>
        <w:spacing w:before="120"/>
      </w:pPr>
      <w:r>
        <w:rPr>
          <w:rFonts w:ascii="Arial" w:hAnsi="Arial" w:cs="Arial"/>
          <w:sz w:val="20"/>
          <w:sz-cs w:val="20"/>
          <w:b/>
        </w:rPr>
        <w:t xml:space="preserve">300</w:t>
      </w:r>
    </w:p>
    <w:p>
      <w:pPr>
        <w:jc w:val="center"/>
        <w:spacing w:before="120"/>
      </w:pPr>
      <w:r>
        <w:rPr>
          <w:rFonts w:ascii="Arial" w:hAnsi="Arial" w:cs="Arial"/>
          <w:sz w:val="20"/>
          <w:sz-cs w:val="20"/>
        </w:rPr>
        <w:t xml:space="preserve">310</w:t>
      </w:r>
    </w:p>
    <w:p>
      <w:pPr>
        <w:jc w:val="center"/>
        <w:spacing w:before="120"/>
      </w:pPr>
      <w:r>
        <w:rPr>
          <w:rFonts w:ascii="Arial" w:hAnsi="Arial" w:cs="Arial"/>
          <w:sz w:val="20"/>
          <w:sz-cs w:val="20"/>
        </w:rPr>
        <w:t xml:space="preserve">320</w:t>
      </w:r>
    </w:p>
    <w:p>
      <w:pPr>
        <w:jc w:val="center"/>
        <w:spacing w:before="120"/>
      </w:pPr>
      <w:r>
        <w:rPr>
          <w:rFonts w:ascii="Arial" w:hAnsi="Arial" w:cs="Arial"/>
          <w:sz w:val="20"/>
          <w:sz-cs w:val="20"/>
        </w:rPr>
        <w:t xml:space="preserve">330</w:t>
      </w:r>
    </w:p>
    <w:p>
      <w:pPr>
        <w:jc w:val="center"/>
        <w:spacing w:before="120"/>
      </w:pPr>
      <w:r>
        <w:rPr>
          <w:rFonts w:ascii="Arial" w:hAnsi="Arial" w:cs="Arial"/>
          <w:sz w:val="20"/>
          <w:sz-cs w:val="20"/>
        </w:rPr>
        <w:t xml:space="preserve">340</w:t>
      </w:r>
    </w:p>
    <w:p>
      <w:pPr>
        <w:jc w:val="center"/>
        <w:spacing w:before="120"/>
      </w:pPr>
      <w:r>
        <w:rPr>
          <w:rFonts w:ascii="Arial" w:hAnsi="Arial" w:cs="Arial"/>
          <w:sz w:val="20"/>
          <w:sz-cs w:val="20"/>
        </w:rPr>
        <w:t xml:space="preserve">350</w:t>
      </w:r>
    </w:p>
    <w:p>
      <w:pPr>
        <w:jc w:val="center"/>
        <w:spacing w:before="120"/>
      </w:pPr>
      <w:r>
        <w:rPr>
          <w:rFonts w:ascii="Arial" w:hAnsi="Arial" w:cs="Arial"/>
          <w:sz w:val="20"/>
          <w:sz-cs w:val="20"/>
        </w:rPr>
        <w:t xml:space="preserve">360</w:t>
      </w:r>
    </w:p>
    <w:p>
      <w:pPr>
        <w:jc w:val="center"/>
        <w:spacing w:before="120"/>
      </w:pPr>
      <w:r>
        <w:rPr>
          <w:rFonts w:ascii="Arial" w:hAnsi="Arial" w:cs="Arial"/>
          <w:sz w:val="20"/>
          <w:sz-cs w:val="20"/>
          <w:b/>
        </w:rPr>
        <w:t xml:space="preserve">400</w:t>
      </w:r>
    </w:p>
    <w:p>
      <w:pPr>
        <w:jc w:val="center"/>
        <w:spacing w:before="120"/>
      </w:pPr>
      <w:r>
        <w:rPr>
          <w:rFonts w:ascii="Arial" w:hAnsi="Arial" w:cs="Arial"/>
          <w:sz w:val="20"/>
          <w:sz-cs w:val="20"/>
        </w:rPr>
        <w:t xml:space="preserve">410</w:t>
      </w:r>
    </w:p>
    <w:p>
      <w:pPr>
        <w:jc w:val="center"/>
        <w:spacing w:before="120"/>
      </w:pPr>
      <w:r>
        <w:rPr>
          <w:rFonts w:ascii="Arial" w:hAnsi="Arial" w:cs="Arial"/>
          <w:sz w:val="20"/>
          <w:sz-cs w:val="20"/>
        </w:rPr>
        <w:t xml:space="preserve">420</w:t>
      </w:r>
    </w:p>
    <w:p>
      <w:pPr>
        <w:jc w:val="center"/>
        <w:spacing w:before="120"/>
      </w:pPr>
      <w:r>
        <w:rPr>
          <w:rFonts w:ascii="Arial" w:hAnsi="Arial" w:cs="Arial"/>
          <w:sz w:val="20"/>
          <w:sz-cs w:val="20"/>
        </w:rPr>
        <w:t xml:space="preserve">430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NGUỒN VỐN </w:t>
        <w:br/>
        <w:t xml:space="preserve">(500=300+400)</w:t>
      </w:r>
    </w:p>
    <w:p>
      <w:pPr>
        <w:jc w:val="center"/>
        <w:spacing w:before="120"/>
      </w:pPr>
      <w:r>
        <w:rPr>
          <w:rFonts w:ascii="Arial" w:hAnsi="Arial" w:cs="Arial"/>
          <w:sz w:val="20"/>
          <w:sz-cs w:val="20"/>
          <w:b/>
        </w:rPr>
        <w:t xml:space="preserve">500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Những chỉ tiêu không có số liệu được miễn trình bày nhưng không được đánh lại “Mã số” chỉ tiêu.</w:t>
      </w:r>
    </w:p>
    <w:p>
      <w:pPr>
        <w:spacing w:before="120"/>
      </w:pPr>
      <w:r>
        <w:rPr>
          <w:rFonts w:ascii="Arial" w:hAnsi="Arial" w:cs="Arial"/>
          <w:sz w:val="20"/>
          <w:sz-cs w:val="20"/>
          <w:i/>
        </w:rPr>
        <w:t xml:space="preserve">(2) Số liệu trong các chỉ tiêu có dấu (*) được ghi bằng số âm dưới hình thức ghi trong ngoặc đơn (…).</w:t>
      </w:r>
    </w:p>
    <w:p>
      <w:pPr>
        <w:spacing w:before="120"/>
      </w:pPr>
      <w:r>
        <w:rPr>
          <w:rFonts w:ascii="Arial" w:hAnsi="Arial" w:cs="Arial"/>
          <w:sz w:val="20"/>
          <w:sz-cs w:val="20"/>
          <w:i/>
        </w:rPr>
        <w:t xml:space="preserve">(3) Đối với doanh nghiệp có kỳ kế toán năm là năm dương lịch (X) thì “Số cuối năm” có thể ghi là “31.12.X”; “Số đầu năm” có thể ghi là “01.01.X”.</w:t>
      </w:r>
    </w:p>
    <w:p>
      <w:pPr>
        <w:spacing w:before="120"/>
      </w:pPr>
      <w:r>
        <w:rPr>
          <w:rFonts w:ascii="Arial" w:hAnsi="Arial" w:cs="Arial"/>
          <w:sz w:val="20"/>
          <w:sz-cs w:val="20"/>
          <w:i/>
        </w:rPr>
        <w:t xml:space="preserve">(4) Đối với trường hợp thuê dịch vụ làm kế toán, làm kế toán trưởng thì phải ghi rõ số Giấy chứng nhận đăng ký hành nghề dịch vụ kế toán, tên đơn vị cung </w:t>
      </w:r>
      <w:r>
        <w:rPr>
          <w:rFonts w:ascii="Arial" w:hAnsi="Arial" w:cs="Arial"/>
          <w:sz w:val="20"/>
          <w:sz-cs w:val="20"/>
          <w:i/>
        </w:rPr>
        <w:t xml:space="preserve">cấp</w:t>
      </w:r>
      <w:r>
        <w:rPr>
          <w:rFonts w:ascii="Arial" w:hAnsi="Arial" w:cs="Arial"/>
          <w:sz w:val="20"/>
          <w:sz-cs w:val="20"/>
          <w:i/>
        </w:rPr>
        <w:t xml:space="preserve"> dịch vụ kế toán.</w:t>
      </w:r>
      <w:r>
        <w:rPr>
          <w:rFonts w:ascii="Arial" w:hAnsi="Arial" w:cs="Arial"/>
          <w:sz w:val="20"/>
          <w:sz-cs w:val="20"/>
        </w:rPr>
        <w:t xml:space="preserve"/>
      </w:r>
    </w:p>
    <w:p>
      <w:pPr>
        <w:spacing w:before="120"/>
      </w:pPr>
      <w:r>
        <w:rPr>
          <w:rFonts w:ascii="Arial" w:hAnsi="Arial" w:cs="Arial"/>
          <w:sz w:val="20"/>
          <w:sz-cs w:val="20"/>
          <w:b/>
          <w:i/>
        </w:rPr>
        <w:t xml:space="preserve"/>
      </w:r>
    </w:p>
    <w:p>
      <w:pPr>
        <w:spacing w:before="120"/>
      </w:pPr>
      <w:r>
        <w:rPr>
          <w:rFonts w:ascii="Arial" w:hAnsi="Arial" w:cs="Arial"/>
          <w:sz w:val="20"/>
          <w:sz-cs w:val="20"/>
          <w:b/>
        </w:rPr>
        <w:t xml:space="preserve">2. Báo cáo kết quả hoạt động kinh doanh (Mẫu số B02 - DNSN)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