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B02 - DNN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BÁO CÁO KẾT QUẢ HOẠT ĐỘNG KINH DOANH</w:t>
      </w:r>
    </w:p>
    <w:p>
      <w:pPr>
        <w:jc w:val="center"/>
        <w:spacing w:before="120"/>
      </w:pPr>
      <w:r>
        <w:rPr>
          <w:rFonts w:ascii="Arial" w:hAnsi="Arial" w:cs="Arial"/>
          <w:sz w:val="20"/>
          <w:sz-cs w:val="20"/>
          <w:i/>
        </w:rPr>
        <w:t xml:space="preserve">Năm...</w:t>
      </w:r>
      <w:r>
        <w:rPr>
          <w:rFonts w:ascii="Arial" w:hAnsi="Arial" w:cs="Arial"/>
          <w:sz w:val="20"/>
          <w:sz-cs w:val="20"/>
          <w:i/>
        </w:rPr>
        <w:t xml:space="preserve"/>
      </w:r>
    </w:p>
    <w:p>
      <w:pPr>
        <w:jc w:val="right"/>
        <w:spacing w:before="120"/>
      </w:pPr>
      <w:r>
        <w:rPr>
          <w:rFonts w:ascii="Arial" w:hAnsi="Arial" w:cs="Arial"/>
          <w:sz w:val="20"/>
          <w:sz-cs w:val="20"/>
          <w:i/>
        </w:rPr>
        <w:t xml:space="preserve">Đơn vị tính: ………….</w:t>
      </w:r>
      <w:r>
        <w:rPr>
          <w:rFonts w:ascii="Arial" w:hAnsi="Arial" w:cs="Arial"/>
          <w:sz w:val="20"/>
          <w:sz-cs w:val="20"/>
        </w:rPr>
        <w:t xml:space="preserve"/>
      </w:r>
    </w:p>
    <w:p>
      <w:pPr>
        <w:jc w:val="center"/>
        <w:spacing w:before="120"/>
      </w:pPr>
      <w:r>
        <w:rPr>
          <w:rFonts w:ascii="Arial" w:hAnsi="Arial" w:cs="Arial"/>
          <w:sz w:val="20"/>
          <w:sz-cs w:val="20"/>
          <w:b/>
        </w:rPr>
        <w:t xml:space="preserve">CHỈ TIÊU</w:t>
      </w:r>
    </w:p>
    <w:p>
      <w:pPr>
        <w:jc w:val="center"/>
        <w:spacing w:before="120"/>
      </w:pPr>
      <w:r>
        <w:rPr>
          <w:rFonts w:ascii="Arial" w:hAnsi="Arial" w:cs="Arial"/>
          <w:sz w:val="20"/>
          <w:sz-cs w:val="20"/>
          <w:b/>
        </w:rPr>
        <w:t xml:space="preserve">Mã số</w:t>
      </w:r>
    </w:p>
    <w:p>
      <w:pPr>
        <w:jc w:val="center"/>
        <w:spacing w:before="120"/>
      </w:pPr>
      <w:r>
        <w:rPr>
          <w:rFonts w:ascii="Arial" w:hAnsi="Arial" w:cs="Arial"/>
          <w:sz w:val="20"/>
          <w:sz-cs w:val="20"/>
          <w:b/>
        </w:rPr>
        <w:t xml:space="preserve">Thuyết minh</w:t>
      </w:r>
    </w:p>
    <w:p>
      <w:pPr>
        <w:jc w:val="center"/>
        <w:spacing w:before="120"/>
      </w:pPr>
      <w:r>
        <w:rPr>
          <w:rFonts w:ascii="Arial" w:hAnsi="Arial" w:cs="Arial"/>
          <w:sz w:val="20"/>
          <w:sz-cs w:val="20"/>
          <w:b/>
        </w:rPr>
        <w:t xml:space="preserve">Năm nay</w:t>
      </w:r>
    </w:p>
    <w:p>
      <w:pPr>
        <w:jc w:val="center"/>
        <w:spacing w:before="120"/>
      </w:pPr>
      <w:r>
        <w:rPr>
          <w:rFonts w:ascii="Arial" w:hAnsi="Arial" w:cs="Arial"/>
          <w:sz w:val="20"/>
          <w:sz-cs w:val="20"/>
          <w:b/>
        </w:rPr>
        <w:t xml:space="preserve">Năm trước</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5</w:t>
      </w:r>
    </w:p>
    <w:p>
      <w:pPr>
        <w:spacing w:before="120"/>
      </w:pPr>
      <w:r>
        <w:rPr>
          <w:rFonts w:ascii="Arial" w:hAnsi="Arial" w:cs="Arial"/>
          <w:sz w:val="20"/>
          <w:sz-cs w:val="20"/>
          <w:b/>
        </w:rPr>
        <w:t xml:space="preserve">1. Doanh thu bán hàng và cung cấp dịch vụ</w:t>
      </w:r>
    </w:p>
    <w:p>
      <w:pPr>
        <w:jc w:val="center"/>
        <w:spacing w:before="120"/>
      </w:pPr>
      <w:r>
        <w:rPr>
          <w:rFonts w:ascii="Arial" w:hAnsi="Arial" w:cs="Arial"/>
          <w:sz w:val="20"/>
          <w:sz-cs w:val="20"/>
          <w:b/>
        </w:rPr>
        <w:t xml:space="preserve">01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2. Các khoản giảm trừ doanh thu</w:t>
      </w:r>
    </w:p>
    <w:p>
      <w:pPr>
        <w:jc w:val="center"/>
        <w:spacing w:before="120"/>
      </w:pPr>
      <w:r>
        <w:rPr>
          <w:rFonts w:ascii="Arial" w:hAnsi="Arial" w:cs="Arial"/>
          <w:sz w:val="20"/>
          <w:sz-cs w:val="20"/>
          <w:b/>
        </w:rPr>
        <w:t xml:space="preserve">02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3. Doanh thu thuần về bán hàng và cung cấp dịch vụ (10= 01-02)</w:t>
      </w:r>
    </w:p>
    <w:p>
      <w:pPr>
        <w:jc w:val="center"/>
        <w:spacing w:before="120"/>
      </w:pPr>
      <w:r>
        <w:rPr>
          <w:rFonts w:ascii="Arial" w:hAnsi="Arial" w:cs="Arial"/>
          <w:sz w:val="20"/>
          <w:sz-cs w:val="20"/>
          <w:b/>
        </w:rPr>
        <w:t xml:space="preserve">10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4. Giá vốn hàng bán</w:t>
      </w:r>
    </w:p>
    <w:p>
      <w:pPr>
        <w:jc w:val="center"/>
        <w:spacing w:before="120"/>
      </w:pPr>
      <w:r>
        <w:rPr>
          <w:rFonts w:ascii="Arial" w:hAnsi="Arial" w:cs="Arial"/>
          <w:sz w:val="20"/>
          <w:sz-cs w:val="20"/>
          <w:b/>
        </w:rPr>
        <w:t xml:space="preserve">11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5. Lợi nhuận gộp về bán hàng và cung cấp dịch vụ (20=10-11)</w:t>
      </w:r>
    </w:p>
    <w:p>
      <w:pPr>
        <w:jc w:val="center"/>
        <w:spacing w:before="120"/>
      </w:pPr>
      <w:r>
        <w:rPr>
          <w:rFonts w:ascii="Arial" w:hAnsi="Arial" w:cs="Arial"/>
          <w:sz w:val="20"/>
          <w:sz-cs w:val="20"/>
          <w:b/>
        </w:rPr>
        <w:t xml:space="preserve">20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6. Doanh thu hoạt động tài chính</w:t>
      </w:r>
    </w:p>
    <w:p>
      <w:pPr>
        <w:jc w:val="center"/>
        <w:spacing w:before="120"/>
      </w:pPr>
      <w:r>
        <w:rPr>
          <w:rFonts w:ascii="Arial" w:hAnsi="Arial" w:cs="Arial"/>
          <w:sz w:val="20"/>
          <w:sz-cs w:val="20"/>
          <w:b/>
        </w:rPr>
        <w:t xml:space="preserve">21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7. Chi phí tài chính</w:t>
      </w:r>
    </w:p>
    <w:p>
      <w:pPr>
        <w:jc w:val="center"/>
        <w:spacing w:before="120"/>
      </w:pPr>
      <w:r>
        <w:rPr>
          <w:rFonts w:ascii="Arial" w:hAnsi="Arial" w:cs="Arial"/>
          <w:sz w:val="20"/>
          <w:sz-cs w:val="20"/>
          <w:b/>
        </w:rPr>
        <w:t xml:space="preserve">22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i/>
        </w:rPr>
        <w:t xml:space="preserve">- Trong đó:</w:t>
      </w:r>
      <w:r>
        <w:rPr>
          <w:rFonts w:ascii="Arial" w:hAnsi="Arial" w:cs="Arial"/>
          <w:sz w:val="20"/>
          <w:sz-cs w:val="20"/>
        </w:rPr>
        <w:t xml:space="preserve"> Chi phí lãi vay</w:t>
      </w:r>
    </w:p>
    <w:p>
      <w:pPr>
        <w:jc w:val="center"/>
        <w:spacing w:before="120"/>
      </w:pPr>
      <w:r>
        <w:rPr>
          <w:rFonts w:ascii="Arial" w:hAnsi="Arial" w:cs="Arial"/>
          <w:sz w:val="20"/>
          <w:sz-cs w:val="20"/>
        </w:rPr>
        <w:t xml:space="preserve">23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8. Chi phí quản lý kinh doanh</w:t>
      </w:r>
    </w:p>
    <w:p>
      <w:pPr>
        <w:jc w:val="center"/>
        <w:spacing w:before="120"/>
      </w:pPr>
      <w:r>
        <w:rPr>
          <w:rFonts w:ascii="Arial" w:hAnsi="Arial" w:cs="Arial"/>
          <w:sz w:val="20"/>
          <w:sz-cs w:val="20"/>
          <w:b/>
        </w:rPr>
        <w:t xml:space="preserve">24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9. Lợi nhuận thuần từ hoạt động kinh doanh </w:t>
        <w:br/>
        <w:t xml:space="preserve">(30 = 20 + 21 - 22 - 24)</w:t>
      </w:r>
    </w:p>
    <w:p>
      <w:pPr>
        <w:jc w:val="center"/>
        <w:spacing w:before="120"/>
      </w:pPr>
      <w:r>
        <w:rPr>
          <w:rFonts w:ascii="Arial" w:hAnsi="Arial" w:cs="Arial"/>
          <w:sz w:val="20"/>
          <w:sz-cs w:val="20"/>
          <w:b/>
        </w:rPr>
        <w:t xml:space="preserve">30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10. Thu nhập khác</w:t>
      </w:r>
    </w:p>
    <w:p>
      <w:pPr>
        <w:jc w:val="center"/>
        <w:spacing w:before="120"/>
      </w:pPr>
      <w:r>
        <w:rPr>
          <w:rFonts w:ascii="Arial" w:hAnsi="Arial" w:cs="Arial"/>
          <w:sz w:val="20"/>
          <w:sz-cs w:val="20"/>
          <w:b/>
        </w:rPr>
        <w:t xml:space="preserve">31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11. Chi phí khác</w:t>
      </w:r>
    </w:p>
    <w:p>
      <w:pPr>
        <w:jc w:val="center"/>
        <w:spacing w:before="120"/>
      </w:pPr>
      <w:r>
        <w:rPr>
          <w:rFonts w:ascii="Arial" w:hAnsi="Arial" w:cs="Arial"/>
          <w:sz w:val="20"/>
          <w:sz-cs w:val="20"/>
          <w:b/>
        </w:rPr>
        <w:t xml:space="preserve">32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12. Lợi nhuận khác (40 = 31 - 32)</w:t>
      </w:r>
    </w:p>
    <w:p>
      <w:pPr>
        <w:jc w:val="center"/>
        <w:spacing w:before="120"/>
      </w:pPr>
      <w:r>
        <w:rPr>
          <w:rFonts w:ascii="Arial" w:hAnsi="Arial" w:cs="Arial"/>
          <w:sz w:val="20"/>
          <w:sz-cs w:val="20"/>
          <w:b/>
        </w:rPr>
        <w:t xml:space="preserve">40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13. Tổng lợi nhuận kế toán trước thuế (50 = 30 + 40)</w:t>
      </w:r>
    </w:p>
    <w:p>
      <w:pPr>
        <w:jc w:val="center"/>
        <w:spacing w:before="120"/>
      </w:pPr>
      <w:r>
        <w:rPr>
          <w:rFonts w:ascii="Arial" w:hAnsi="Arial" w:cs="Arial"/>
          <w:sz w:val="20"/>
          <w:sz-cs w:val="20"/>
          <w:b/>
        </w:rPr>
        <w:t xml:space="preserve">50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14. Chi phí thuế TNDN</w:t>
      </w:r>
    </w:p>
    <w:p>
      <w:pPr>
        <w:jc w:val="center"/>
        <w:spacing w:before="120"/>
      </w:pPr>
      <w:r>
        <w:rPr>
          <w:rFonts w:ascii="Arial" w:hAnsi="Arial" w:cs="Arial"/>
          <w:sz w:val="20"/>
          <w:sz-cs w:val="20"/>
          <w:b/>
        </w:rPr>
        <w:t xml:space="preserve">51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15. Lợi nhuận sau thuế thu nhập doanh nghiệp</w:t>
        <w:br/>
        <w:t xml:space="preserve">(60=50 - 51)</w:t>
      </w:r>
    </w:p>
    <w:p>
      <w:pPr>
        <w:jc w:val="center"/>
        <w:spacing w:before="120"/>
      </w:pPr>
      <w:r>
        <w:rPr>
          <w:rFonts w:ascii="Arial" w:hAnsi="Arial" w:cs="Arial"/>
          <w:sz w:val="20"/>
          <w:sz-cs w:val="20"/>
          <w:b/>
        </w:rPr>
        <w:t xml:space="preserve">60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(1) Những chỉ tiêu không có số liệu được miễn trình bày nhưng không được đánh lại “Mã số” chỉ tiêu.</w:t>
      </w:r>
    </w:p>
    <w:p>
      <w:pPr>
        <w:spacing w:before="120"/>
      </w:pPr>
      <w:r>
        <w:rPr>
          <w:rFonts w:ascii="Arial" w:hAnsi="Arial" w:cs="Arial"/>
          <w:sz w:val="20"/>
          <w:sz-cs w:val="20"/>
          <w:i/>
        </w:rPr>
        <w:t xml:space="preserve">(2) Đối với trường hợp thuê dịch vụ làm kế toán, làm kế toán trưởng thì phải ghi rõ số Giấy chứng nhận đăng ký hành nghề dịch vụ kế toán, tên đơn vị cung </w:t>
      </w:r>
      <w:r>
        <w:rPr>
          <w:rFonts w:ascii="Arial" w:hAnsi="Arial" w:cs="Arial"/>
          <w:sz w:val="20"/>
          <w:sz-cs w:val="20"/>
          <w:i/>
        </w:rPr>
        <w:t xml:space="preserve">cấp</w:t>
      </w:r>
      <w:r>
        <w:rPr>
          <w:rFonts w:ascii="Arial" w:hAnsi="Arial" w:cs="Arial"/>
          <w:sz w:val="20"/>
          <w:sz-cs w:val="20"/>
          <w:i/>
        </w:rPr>
        <w:t xml:space="preserve">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5. Báo cáo lưu chuyển tiền tệ</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