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B03 - DNN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BÁO CÁO LƯU CHUYỂN TIỀN TỆ</w:t>
      </w:r>
    </w:p>
    <w:p>
      <w:pPr>
        <w:jc w:val="center"/>
        <w:spacing w:before="120"/>
      </w:pPr>
      <w:r>
        <w:rPr>
          <w:rFonts w:ascii="Arial" w:hAnsi="Arial" w:cs="Arial"/>
          <w:sz w:val="20"/>
          <w:sz-cs w:val="20"/>
          <w:b/>
          <w:i/>
        </w:rPr>
        <w:t xml:space="preserve">(Theo phương pháp gián tiếp)</w:t>
      </w:r>
    </w:p>
    <w:p>
      <w:pPr>
        <w:jc w:val="center"/>
        <w:spacing w:before="120"/>
      </w:pPr>
      <w:r>
        <w:rPr>
          <w:rFonts w:ascii="Arial" w:hAnsi="Arial" w:cs="Arial"/>
          <w:sz w:val="20"/>
          <w:sz-cs w:val="20"/>
        </w:rPr>
        <w:t xml:space="preserve">Năm ...</w:t>
      </w:r>
      <w:r>
        <w:rPr>
          <w:rFonts w:ascii="Arial" w:hAnsi="Arial" w:cs="Arial"/>
          <w:sz w:val="20"/>
          <w:sz-cs w:val="20"/>
          <w:i/>
        </w:rPr>
        <w:t xml:space="preserve"/>
      </w:r>
    </w:p>
    <w:p>
      <w:pPr>
        <w:jc w:val="right"/>
        <w:spacing w:before="120"/>
      </w:pPr>
      <w:r>
        <w:rPr>
          <w:rFonts w:ascii="Arial" w:hAnsi="Arial" w:cs="Arial"/>
          <w:sz w:val="20"/>
          <w:sz-cs w:val="20"/>
          <w:i/>
        </w:rPr>
        <w:t xml:space="preserve">Đơn vị tính: ………….</w:t>
      </w:r>
      <w:r>
        <w:rPr>
          <w:rFonts w:ascii="Arial" w:hAnsi="Arial" w:cs="Arial"/>
          <w:sz w:val="20"/>
          <w:sz-cs w:val="20"/>
        </w:rPr>
        <w:t xml:space="preserve"/>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Năm nay</w:t>
      </w:r>
    </w:p>
    <w:p>
      <w:pPr>
        <w:jc w:val="center"/>
        <w:spacing w:before="120"/>
      </w:pPr>
      <w:r>
        <w:rPr>
          <w:rFonts w:ascii="Arial" w:hAnsi="Arial" w:cs="Arial"/>
          <w:sz w:val="20"/>
          <w:sz-cs w:val="20"/>
          <w:b/>
        </w:rPr>
        <w:t xml:space="preserve">Năm trước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spacing w:before="120"/>
      </w:pPr>
      <w:r>
        <w:rPr>
          <w:rFonts w:ascii="Arial" w:hAnsi="Arial" w:cs="Arial"/>
          <w:sz w:val="20"/>
          <w:sz-cs w:val="20"/>
          <w:b/>
        </w:rPr>
        <w:t xml:space="preserve">I. Lưu chuyển tiền từ hoạt động </w:t>
      </w:r>
      <w:r>
        <w:rPr>
          <w:rFonts w:ascii="Arial" w:hAnsi="Arial" w:cs="Arial"/>
          <w:sz w:val="20"/>
          <w:sz-cs w:val="20"/>
          <w:b/>
        </w:rPr>
        <w:t xml:space="preserve">kinh</w:t>
      </w:r>
      <w:r>
        <w:rPr>
          <w:rFonts w:ascii="Arial" w:hAnsi="Arial" w:cs="Arial"/>
          <w:sz w:val="20"/>
          <w:sz-cs w:val="20"/>
          <w:b/>
        </w:rPr>
        <w:t xml:space="preserve"> doanh</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1. Lợi nhuận trước thuế</w:t>
      </w:r>
    </w:p>
    <w:p>
      <w:pPr>
        <w:jc w:val="center"/>
        <w:spacing w:before="120"/>
      </w:pPr>
      <w:r>
        <w:rPr>
          <w:rFonts w:ascii="Arial" w:hAnsi="Arial" w:cs="Arial"/>
          <w:sz w:val="20"/>
          <w:sz-cs w:val="20"/>
          <w:b/>
          <w:i/>
        </w:rPr>
        <w:t xml:space="preserve">01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2. </w:t>
      </w:r>
      <w:r>
        <w:rPr>
          <w:rFonts w:ascii="Arial" w:hAnsi="Arial" w:cs="Arial"/>
          <w:sz w:val="20"/>
          <w:sz-cs w:val="20"/>
          <w:b/>
          <w:i/>
        </w:rPr>
        <w:t xml:space="preserve">Điều</w:t>
      </w:r>
      <w:r>
        <w:rPr>
          <w:rFonts w:ascii="Arial" w:hAnsi="Arial" w:cs="Arial"/>
          <w:sz w:val="20"/>
          <w:sz-cs w:val="20"/>
          <w:b/>
          <w:i/>
        </w:rPr>
        <w:t xml:space="preserve"> chỉnh cho các khoản</w:t>
      </w:r>
    </w:p>
    <w:p>
      <w:pPr>
        <w:jc w:val="center"/>
        <w:spacing w:before="120"/>
      </w:pPr>
      <w:r>
        <w:rPr>
          <w:rFonts w:ascii="Arial" w:hAnsi="Arial" w:cs="Arial"/>
          <w:sz w:val="20"/>
          <w:sz-cs w:val="20"/>
          <w:b/>
          <w:i/>
        </w:rPr>
        <w:t xml:space="preserve">02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Khấu hao TSCĐ và BĐSĐT</w:t>
      </w:r>
    </w:p>
    <w:p>
      <w:pPr>
        <w:jc w:val="center"/>
        <w:spacing w:before="120"/>
      </w:pPr>
      <w:r>
        <w:rPr>
          <w:rFonts w:ascii="Arial" w:hAnsi="Arial" w:cs="Arial"/>
          <w:sz w:val="20"/>
          <w:sz-cs w:val="20"/>
        </w:rPr>
        <w:t xml:space="preserve">03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Các khoản dự phòng</w:t>
      </w:r>
    </w:p>
    <w:p>
      <w:pPr>
        <w:jc w:val="center"/>
        <w:spacing w:before="120"/>
      </w:pPr>
      <w:r>
        <w:rPr>
          <w:rFonts w:ascii="Arial" w:hAnsi="Arial" w:cs="Arial"/>
          <w:sz w:val="20"/>
          <w:sz-cs w:val="20"/>
        </w:rPr>
        <w:t xml:space="preserve">04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Lãi, lỗ chênh lệch tỷ giá hối đoái do đánh giá lại các khoản mục tiền tệ có gốc ngoại tệ</w:t>
      </w:r>
    </w:p>
    <w:p>
      <w:pPr>
        <w:jc w:val="center"/>
        <w:spacing w:before="120"/>
      </w:pPr>
      <w:r>
        <w:rPr>
          <w:rFonts w:ascii="Arial" w:hAnsi="Arial" w:cs="Arial"/>
          <w:sz w:val="20"/>
          <w:sz-cs w:val="20"/>
        </w:rPr>
        <w:t xml:space="preserve">05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Lãi, lỗ từ hoạt động đầu tư</w:t>
      </w:r>
    </w:p>
    <w:p>
      <w:pPr>
        <w:jc w:val="center"/>
        <w:spacing w:before="120"/>
      </w:pPr>
      <w:r>
        <w:rPr>
          <w:rFonts w:ascii="Arial" w:hAnsi="Arial" w:cs="Arial"/>
          <w:sz w:val="20"/>
          <w:sz-cs w:val="20"/>
        </w:rPr>
        <w:t xml:space="preserve">06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Chi phí lãi vay</w:t>
      </w:r>
    </w:p>
    <w:p>
      <w:pPr>
        <w:jc w:val="center"/>
        <w:spacing w:before="120"/>
      </w:pPr>
      <w:r>
        <w:rPr>
          <w:rFonts w:ascii="Arial" w:hAnsi="Arial" w:cs="Arial"/>
          <w:sz w:val="20"/>
          <w:sz-cs w:val="20"/>
        </w:rPr>
        <w:t xml:space="preserve">07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Các khoản điều chỉnh khác</w:t>
      </w:r>
    </w:p>
    <w:p>
      <w:pPr>
        <w:jc w:val="center"/>
        <w:spacing w:before="120"/>
      </w:pPr>
      <w:r>
        <w:rPr>
          <w:rFonts w:ascii="Arial" w:hAnsi="Arial" w:cs="Arial"/>
          <w:sz w:val="20"/>
          <w:sz-cs w:val="20"/>
        </w:rPr>
        <w:t xml:space="preserve">08</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3. Lợi nhuận từ hoạt động kinh doanh trước thay đổi vốn lưu động</w:t>
      </w:r>
    </w:p>
    <w:p>
      <w:pPr>
        <w:jc w:val="center"/>
        <w:spacing w:before="120"/>
      </w:pPr>
      <w:r>
        <w:rPr>
          <w:rFonts w:ascii="Arial" w:hAnsi="Arial" w:cs="Arial"/>
          <w:sz w:val="20"/>
          <w:sz-cs w:val="20"/>
          <w:b/>
          <w:i/>
        </w:rPr>
        <w:t xml:space="preserve">09</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Tăng, giảm các khoản phải thu</w:t>
      </w:r>
    </w:p>
    <w:p>
      <w:pPr>
        <w:jc w:val="center"/>
        <w:spacing w:before="120"/>
      </w:pPr>
      <w:r>
        <w:rPr>
          <w:rFonts w:ascii="Arial" w:hAnsi="Arial" w:cs="Arial"/>
          <w:sz w:val="20"/>
          <w:sz-cs w:val="20"/>
        </w:rPr>
        <w:t xml:space="preserve">10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Tăng, giảm hàng tồn kho</w:t>
      </w:r>
    </w:p>
    <w:p>
      <w:pPr>
        <w:jc w:val="center"/>
        <w:spacing w:before="120"/>
      </w:pPr>
      <w:r>
        <w:rPr>
          <w:rFonts w:ascii="Arial" w:hAnsi="Arial" w:cs="Arial"/>
          <w:sz w:val="20"/>
          <w:sz-cs w:val="20"/>
        </w:rPr>
        <w:t xml:space="preserve">11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Tăng, giảm các khoản phải trả (Không kể lãi vay phải trả, thuế thu nhập doanh nghiệp phải nộp)</w:t>
      </w:r>
    </w:p>
    <w:p>
      <w:pPr>
        <w:jc w:val="center"/>
        <w:spacing w:before="120"/>
      </w:pPr>
      <w:r>
        <w:rPr>
          <w:rFonts w:ascii="Arial" w:hAnsi="Arial" w:cs="Arial"/>
          <w:sz w:val="20"/>
          <w:sz-cs w:val="20"/>
        </w:rPr>
        <w:t xml:space="preserve">12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Tăng, giảm chi phí trả trước</w:t>
      </w:r>
    </w:p>
    <w:p>
      <w:pPr>
        <w:jc w:val="center"/>
        <w:spacing w:before="120"/>
      </w:pPr>
      <w:r>
        <w:rPr>
          <w:rFonts w:ascii="Arial" w:hAnsi="Arial" w:cs="Arial"/>
          <w:sz w:val="20"/>
          <w:sz-cs w:val="20"/>
        </w:rPr>
        <w:t xml:space="preserve">13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Tăng, giảm chứng k</w:t>
      </w:r>
      <w:r>
        <w:rPr>
          <w:rFonts w:ascii="Arial" w:hAnsi="Arial" w:cs="Arial"/>
          <w:sz w:val="20"/>
          <w:sz-cs w:val="20"/>
        </w:rPr>
        <w:t xml:space="preserve">hoán</w:t>
      </w:r>
      <w:r>
        <w:rPr>
          <w:rFonts w:ascii="Arial" w:hAnsi="Arial" w:cs="Arial"/>
          <w:sz w:val="20"/>
          <w:sz-cs w:val="20"/>
        </w:rPr>
        <w:t xml:space="preserve"> kinh doanh</w:t>
      </w:r>
    </w:p>
    <w:p>
      <w:pPr>
        <w:jc w:val="center"/>
        <w:spacing w:before="120"/>
      </w:pPr>
      <w:r>
        <w:rPr>
          <w:rFonts w:ascii="Arial" w:hAnsi="Arial" w:cs="Arial"/>
          <w:sz w:val="20"/>
          <w:sz-cs w:val="20"/>
        </w:rPr>
        <w:t xml:space="preserve">14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Tiền lãi vay đã trả</w:t>
      </w:r>
    </w:p>
    <w:p>
      <w:pPr>
        <w:jc w:val="center"/>
        <w:spacing w:before="120"/>
      </w:pPr>
      <w:r>
        <w:rPr>
          <w:rFonts w:ascii="Arial" w:hAnsi="Arial" w:cs="Arial"/>
          <w:sz w:val="20"/>
          <w:sz-cs w:val="20"/>
        </w:rPr>
        <w:t xml:space="preserve">15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Thuế thu nhập doanh nghiệp đã nộp</w:t>
      </w:r>
    </w:p>
    <w:p>
      <w:pPr>
        <w:jc w:val="center"/>
        <w:spacing w:before="120"/>
      </w:pPr>
      <w:r>
        <w:rPr>
          <w:rFonts w:ascii="Arial" w:hAnsi="Arial" w:cs="Arial"/>
          <w:sz w:val="20"/>
          <w:sz-cs w:val="20"/>
        </w:rPr>
        <w:t xml:space="preserve">16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Tiền thu khác từ hoạt động kinh doanh</w:t>
      </w:r>
    </w:p>
    <w:p>
      <w:pPr>
        <w:jc w:val="center"/>
        <w:spacing w:before="120"/>
      </w:pPr>
      <w:r>
        <w:rPr>
          <w:rFonts w:ascii="Arial" w:hAnsi="Arial" w:cs="Arial"/>
          <w:sz w:val="20"/>
          <w:sz-cs w:val="20"/>
        </w:rPr>
        <w:t xml:space="preserve">17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Tiền chi khác cho hoạt động kinh doanh</w:t>
      </w:r>
    </w:p>
    <w:p>
      <w:pPr>
        <w:jc w:val="center"/>
        <w:spacing w:before="120"/>
      </w:pPr>
      <w:r>
        <w:rPr>
          <w:rFonts w:ascii="Arial" w:hAnsi="Arial" w:cs="Arial"/>
          <w:sz w:val="20"/>
          <w:sz-cs w:val="20"/>
        </w:rPr>
        <w:t xml:space="preserve">18</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Lưu chuyển tiền thuần từ hoạt động kinh doanh</w:t>
      </w:r>
    </w:p>
    <w:p>
      <w:pPr>
        <w:jc w:val="center"/>
        <w:spacing w:before="120"/>
      </w:pPr>
      <w:r>
        <w:rPr>
          <w:rFonts w:ascii="Arial" w:hAnsi="Arial" w:cs="Arial"/>
          <w:sz w:val="20"/>
          <w:sz-cs w:val="20"/>
          <w:b/>
          <w:i/>
        </w:rPr>
        <w:t xml:space="preserve">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Lưu chuyển tiền từ hoạt động đầu tư</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Tiền chi để mua sắm, xây dựng TSCĐ, BĐSĐT và các tài sản dài hạn khác</w:t>
      </w:r>
    </w:p>
    <w:p>
      <w:pPr>
        <w:jc w:val="center"/>
        <w:spacing w:before="120"/>
      </w:pPr>
      <w:r>
        <w:rPr>
          <w:rFonts w:ascii="Arial" w:hAnsi="Arial" w:cs="Arial"/>
          <w:sz w:val="20"/>
          <w:sz-cs w:val="20"/>
        </w:rPr>
        <w:t xml:space="preserve">21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Tiền thu từ thanh lý, nhượng bán TSCĐ, BĐSĐT và các tài sản dài hạn khác</w:t>
      </w:r>
    </w:p>
    <w:p>
      <w:pPr>
        <w:jc w:val="center"/>
        <w:spacing w:before="120"/>
      </w:pPr>
      <w:r>
        <w:rPr>
          <w:rFonts w:ascii="Arial" w:hAnsi="Arial" w:cs="Arial"/>
          <w:sz w:val="20"/>
          <w:sz-cs w:val="20"/>
        </w:rPr>
        <w:t xml:space="preserve">22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Tiền chi cho vay, đầu tư góp vốn vào đơn vị khác</w:t>
      </w:r>
    </w:p>
    <w:p>
      <w:pPr>
        <w:jc w:val="center"/>
        <w:spacing w:before="120"/>
      </w:pPr>
      <w:r>
        <w:rPr>
          <w:rFonts w:ascii="Arial" w:hAnsi="Arial" w:cs="Arial"/>
          <w:sz w:val="20"/>
          <w:sz-cs w:val="20"/>
        </w:rPr>
        <w:t xml:space="preserve">23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Tiền thu hồi cho vay, đầu tư góp vốn vào đơn vị khác</w:t>
      </w:r>
    </w:p>
    <w:p>
      <w:pPr>
        <w:jc w:val="center"/>
        <w:spacing w:before="120"/>
      </w:pPr>
      <w:r>
        <w:rPr>
          <w:rFonts w:ascii="Arial" w:hAnsi="Arial" w:cs="Arial"/>
          <w:sz w:val="20"/>
          <w:sz-cs w:val="20"/>
        </w:rPr>
        <w:t xml:space="preserve">24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5.Tiền thu lãi cho vay, cổ tức và lợi nhuận được chia</w:t>
      </w:r>
    </w:p>
    <w:p>
      <w:pPr>
        <w:jc w:val="center"/>
        <w:spacing w:before="120"/>
      </w:pPr>
      <w:r>
        <w:rPr>
          <w:rFonts w:ascii="Arial" w:hAnsi="Arial" w:cs="Arial"/>
          <w:sz w:val="20"/>
          <w:sz-cs w:val="20"/>
        </w:rPr>
        <w:t xml:space="preserve">25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Lưu chuyển tiền thuần từ hoạt động đầu tư</w:t>
      </w:r>
    </w:p>
    <w:p>
      <w:pPr>
        <w:jc w:val="center"/>
        <w:spacing w:before="120"/>
      </w:pPr>
      <w:r>
        <w:rPr>
          <w:rFonts w:ascii="Arial" w:hAnsi="Arial" w:cs="Arial"/>
          <w:sz w:val="20"/>
          <w:sz-cs w:val="20"/>
          <w:b/>
          <w:i/>
        </w:rPr>
        <w:t xml:space="preserve">30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III. Lưu chuyển tiền từ hoạt động tài chính</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Tiền thu từ phát hành cổ phiếu, nhận vốn góp của chủ sở hữu</w:t>
      </w:r>
    </w:p>
    <w:p>
      <w:pPr>
        <w:jc w:val="center"/>
        <w:spacing w:before="120"/>
      </w:pPr>
      <w:r>
        <w:rPr>
          <w:rFonts w:ascii="Arial" w:hAnsi="Arial" w:cs="Arial"/>
          <w:sz w:val="20"/>
          <w:sz-cs w:val="20"/>
        </w:rPr>
        <w:t xml:space="preserve">31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Tiền trả lại vốn góp cho các chủ sở hữu, mua lại cổ phiếu của doanh nghiệp đã phát hành</w:t>
      </w:r>
    </w:p>
    <w:p>
      <w:pPr>
        <w:jc w:val="center"/>
        <w:spacing w:before="120"/>
      </w:pPr>
      <w:r>
        <w:rPr>
          <w:rFonts w:ascii="Arial" w:hAnsi="Arial" w:cs="Arial"/>
          <w:sz w:val="20"/>
          <w:sz-cs w:val="20"/>
        </w:rPr>
        <w:t xml:space="preserve">32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Tiền thu từ đi vay</w:t>
      </w:r>
    </w:p>
    <w:p>
      <w:pPr>
        <w:jc w:val="center"/>
        <w:spacing w:before="120"/>
      </w:pPr>
      <w:r>
        <w:rPr>
          <w:rFonts w:ascii="Arial" w:hAnsi="Arial" w:cs="Arial"/>
          <w:sz w:val="20"/>
          <w:sz-cs w:val="20"/>
        </w:rPr>
        <w:t xml:space="preserve">33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Tiền trả nợ gốc vay và nợ gốc thuê tài chính</w:t>
      </w:r>
    </w:p>
    <w:p>
      <w:pPr>
        <w:jc w:val="center"/>
        <w:spacing w:before="120"/>
      </w:pPr>
      <w:r>
        <w:rPr>
          <w:rFonts w:ascii="Arial" w:hAnsi="Arial" w:cs="Arial"/>
          <w:sz w:val="20"/>
          <w:sz-cs w:val="20"/>
        </w:rPr>
        <w:t xml:space="preserve">34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Cổ tức, lợi nhuận đã trả cho chủ sở hữu</w:t>
      </w:r>
    </w:p>
    <w:p>
      <w:pPr>
        <w:jc w:val="center"/>
        <w:spacing w:before="120"/>
      </w:pPr>
      <w:r>
        <w:rPr>
          <w:rFonts w:ascii="Arial" w:hAnsi="Arial" w:cs="Arial"/>
          <w:sz w:val="20"/>
          <w:sz-cs w:val="20"/>
        </w:rPr>
        <w:t xml:space="preserve">35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Tiền và tương đương tiền đầu kỳ</w:t>
      </w:r>
    </w:p>
    <w:p>
      <w:pPr>
        <w:jc w:val="center"/>
        <w:spacing w:before="120"/>
      </w:pPr>
      <w:r>
        <w:rPr>
          <w:rFonts w:ascii="Arial" w:hAnsi="Arial" w:cs="Arial"/>
          <w:sz w:val="20"/>
          <w:sz-cs w:val="20"/>
          <w:b/>
        </w:rPr>
        <w:t xml:space="preserve">60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Ảnh hưởng của thay đổi tỷ giá hối đoái quy đổi ngoại tệ</w:t>
      </w:r>
    </w:p>
    <w:p>
      <w:pPr>
        <w:jc w:val="center"/>
        <w:spacing w:before="120"/>
      </w:pPr>
      <w:r>
        <w:rPr>
          <w:rFonts w:ascii="Arial" w:hAnsi="Arial" w:cs="Arial"/>
          <w:sz w:val="20"/>
          <w:sz-cs w:val="20"/>
        </w:rPr>
        <w:t xml:space="preserve">61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Tiền và tương đương tiền cuối kỳ</w:t>
        <w:br/>
        <w:t xml:space="preserve">(70 = 50+60+61)</w:t>
      </w:r>
    </w:p>
    <w:p>
      <w:pPr>
        <w:jc w:val="center"/>
        <w:spacing w:before="120"/>
      </w:pPr>
      <w:r>
        <w:rPr>
          <w:rFonts w:ascii="Arial" w:hAnsi="Arial" w:cs="Arial"/>
          <w:sz w:val="20"/>
          <w:sz-cs w:val="20"/>
          <w:b/>
        </w:rPr>
        <w:t xml:space="preserve">70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(1) Các chỉ tiêu không có số liệu thì doanh nghiệp không phải trình bày nhưng không được đánh lại “Mã số chỉ tiêu”.</w:t>
      </w:r>
    </w:p>
    <w:p>
      <w:pPr>
        <w:spacing w:before="120"/>
      </w:pPr>
      <w:r>
        <w:rPr>
          <w:rFonts w:ascii="Arial" w:hAnsi="Arial" w:cs="Arial"/>
          <w:sz w:val="20"/>
          <w:sz-cs w:val="20"/>
          <w:i/>
        </w:rPr>
        <w:t xml:space="preserve">(2)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6. Bản thuyết minh Báo cáo tài chính (Mẫu số B09 - DNN)</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