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6210CAC3" w14:textId="77777777">
        <w:tc>
          <w:tcPr>
            <w:tcW w:w="1645" w:type="pct"/>
          </w:tcPr>
          <w:p w14:paraId="31AF99D3" w14:textId="2FD17E1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F90479" w:rsidRPr="00925922">
              <w:rPr>
                <w:rFonts w:ascii="Arial" w:hAnsi="Arial" w:cs="Arial"/>
                <w:sz w:val="20"/>
                <w:szCs w:val="20"/>
              </w:rPr>
              <w:t>....</w:t>
            </w:r>
          </w:p>
        </w:tc>
        <w:tc>
          <w:tcPr>
            <w:tcW w:w="3355" w:type="pct"/>
          </w:tcPr>
          <w:p w14:paraId="38AD0E77" w14:textId="67FADECF"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Mẫu số B02 - 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F90479"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2590F24" w14:textId="77777777" w:rsidR="00F90479" w:rsidRPr="00925922" w:rsidRDefault="00F90479" w:rsidP="00F90479">
      <w:pPr>
        <w:spacing w:after="0" w:line="240" w:lineRule="auto"/>
        <w:jc w:val="center"/>
        <w:rPr>
          <w:rFonts w:ascii="Arial" w:hAnsi="Arial" w:cs="Arial"/>
          <w:b/>
          <w:sz w:val="20"/>
          <w:szCs w:val="20"/>
        </w:rPr>
      </w:pPr>
    </w:p>
    <w:p w14:paraId="50EA2030" w14:textId="77777777" w:rsidR="00F90479" w:rsidRPr="00925922" w:rsidRDefault="00F90479" w:rsidP="00F90479">
      <w:pPr>
        <w:spacing w:after="0" w:line="240" w:lineRule="auto"/>
        <w:jc w:val="center"/>
        <w:rPr>
          <w:rFonts w:ascii="Arial" w:hAnsi="Arial" w:cs="Arial"/>
          <w:b/>
          <w:sz w:val="20"/>
          <w:szCs w:val="20"/>
        </w:rPr>
      </w:pPr>
    </w:p>
    <w:p w14:paraId="393F8B62" w14:textId="0DA6BE95"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BÁO CÁO KẾT QUẢ HOẠT ĐỘNG KINH DOANH</w:t>
      </w:r>
    </w:p>
    <w:p w14:paraId="55D301B2" w14:textId="77777777" w:rsidR="00C5738A" w:rsidRPr="00925922" w:rsidRDefault="00000000" w:rsidP="00F90479">
      <w:pPr>
        <w:spacing w:after="0" w:line="240" w:lineRule="auto"/>
        <w:jc w:val="center"/>
        <w:rPr>
          <w:rFonts w:ascii="Arial" w:hAnsi="Arial" w:cs="Arial"/>
          <w:i/>
          <w:sz w:val="20"/>
          <w:szCs w:val="20"/>
        </w:rPr>
      </w:pPr>
      <w:r w:rsidRPr="00925922">
        <w:rPr>
          <w:rFonts w:ascii="Arial" w:hAnsi="Arial" w:cs="Arial"/>
          <w:i/>
          <w:sz w:val="20"/>
          <w:szCs w:val="20"/>
        </w:rPr>
        <w:t>Năm..................</w:t>
      </w:r>
    </w:p>
    <w:p w14:paraId="2B803F76" w14:textId="77777777" w:rsidR="00F90479" w:rsidRPr="00925922" w:rsidRDefault="00F90479" w:rsidP="00F90479">
      <w:pPr>
        <w:spacing w:after="0" w:line="240" w:lineRule="auto"/>
        <w:jc w:val="center"/>
        <w:rPr>
          <w:rFonts w:ascii="Arial" w:hAnsi="Arial" w:cs="Arial"/>
          <w:sz w:val="20"/>
          <w:szCs w:val="20"/>
        </w:rPr>
      </w:pPr>
    </w:p>
    <w:p w14:paraId="1AF4F45D" w14:textId="77777777" w:rsidR="00C5738A" w:rsidRPr="00925922" w:rsidRDefault="00000000" w:rsidP="00F90479">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98"/>
        <w:gridCol w:w="398"/>
        <w:gridCol w:w="606"/>
        <w:gridCol w:w="1404"/>
      </w:tblGrid>
      <w:tr w:rsidR="00C5738A" w:rsidRPr="00925922" w14:paraId="2922806F" w14:textId="77777777" w:rsidTr="00F90479">
        <w:trPr>
          <w:trHeight w:val="432"/>
        </w:trPr>
        <w:tc>
          <w:tcPr>
            <w:tcW w:w="0" w:type="auto"/>
            <w:tcBorders>
              <w:top w:val="single" w:sz="8" w:space="0" w:color="000000"/>
              <w:left w:val="single" w:sz="8" w:space="0" w:color="000000"/>
              <w:bottom w:val="nil"/>
              <w:right w:val="nil"/>
            </w:tcBorders>
            <w:vAlign w:val="center"/>
          </w:tcPr>
          <w:p w14:paraId="7A337B8E"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Chỉ tiêu</w:t>
            </w:r>
          </w:p>
        </w:tc>
        <w:tc>
          <w:tcPr>
            <w:tcW w:w="0" w:type="auto"/>
            <w:tcBorders>
              <w:top w:val="single" w:sz="8" w:space="0" w:color="000000"/>
              <w:left w:val="single" w:sz="8" w:space="0" w:color="000000"/>
              <w:bottom w:val="nil"/>
              <w:right w:val="nil"/>
            </w:tcBorders>
            <w:vAlign w:val="center"/>
          </w:tcPr>
          <w:p w14:paraId="2417F2B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Mã</w:t>
            </w:r>
          </w:p>
          <w:p w14:paraId="45C83C1D"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số</w:t>
            </w:r>
          </w:p>
        </w:tc>
        <w:tc>
          <w:tcPr>
            <w:tcW w:w="0" w:type="auto"/>
            <w:tcBorders>
              <w:top w:val="single" w:sz="8" w:space="0" w:color="000000"/>
              <w:left w:val="single" w:sz="8" w:space="0" w:color="000000"/>
              <w:bottom w:val="nil"/>
              <w:right w:val="nil"/>
            </w:tcBorders>
            <w:vAlign w:val="center"/>
          </w:tcPr>
          <w:p w14:paraId="2DB6FD40"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Năm</w:t>
            </w:r>
          </w:p>
          <w:p w14:paraId="601E5C7C"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Nay</w:t>
            </w:r>
          </w:p>
        </w:tc>
        <w:tc>
          <w:tcPr>
            <w:tcW w:w="0" w:type="auto"/>
            <w:tcBorders>
              <w:top w:val="single" w:sz="8" w:space="0" w:color="000000"/>
              <w:left w:val="single" w:sz="8" w:space="0" w:color="000000"/>
              <w:bottom w:val="nil"/>
              <w:right w:val="single" w:sz="8" w:space="0" w:color="000000"/>
            </w:tcBorders>
            <w:vAlign w:val="center"/>
          </w:tcPr>
          <w:p w14:paraId="07CEF1E5"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Năm trước</w:t>
            </w:r>
          </w:p>
        </w:tc>
      </w:tr>
      <w:tr w:rsidR="00C5738A" w:rsidRPr="00925922" w14:paraId="36B047D5" w14:textId="77777777" w:rsidTr="00F90479">
        <w:trPr>
          <w:trHeight w:val="432"/>
        </w:trPr>
        <w:tc>
          <w:tcPr>
            <w:tcW w:w="0" w:type="auto"/>
            <w:tcBorders>
              <w:top w:val="single" w:sz="8" w:space="0" w:color="000000"/>
              <w:left w:val="single" w:sz="8" w:space="0" w:color="000000"/>
              <w:bottom w:val="nil"/>
              <w:right w:val="nil"/>
            </w:tcBorders>
            <w:vAlign w:val="center"/>
          </w:tcPr>
          <w:p w14:paraId="2BA5FC8A"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19D6084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43089D4E"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single" w:sz="8" w:space="0" w:color="000000"/>
            </w:tcBorders>
            <w:vAlign w:val="center"/>
          </w:tcPr>
          <w:p w14:paraId="3C87896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w:t>
            </w:r>
          </w:p>
        </w:tc>
      </w:tr>
      <w:tr w:rsidR="00C5738A" w:rsidRPr="00925922" w14:paraId="0E7C6390" w14:textId="77777777" w:rsidTr="00F90479">
        <w:trPr>
          <w:trHeight w:val="432"/>
        </w:trPr>
        <w:tc>
          <w:tcPr>
            <w:tcW w:w="0" w:type="auto"/>
            <w:tcBorders>
              <w:top w:val="single" w:sz="8" w:space="0" w:color="000000"/>
              <w:left w:val="single" w:sz="8" w:space="0" w:color="000000"/>
              <w:bottom w:val="nil"/>
              <w:right w:val="nil"/>
            </w:tcBorders>
            <w:vAlign w:val="center"/>
          </w:tcPr>
          <w:p w14:paraId="23C08E6C"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Doanh thu và thu nhập thuần</w:t>
            </w:r>
          </w:p>
        </w:tc>
        <w:tc>
          <w:tcPr>
            <w:tcW w:w="0" w:type="auto"/>
            <w:tcBorders>
              <w:top w:val="single" w:sz="8" w:space="0" w:color="000000"/>
              <w:left w:val="single" w:sz="8" w:space="0" w:color="000000"/>
              <w:bottom w:val="nil"/>
              <w:right w:val="nil"/>
            </w:tcBorders>
            <w:vAlign w:val="center"/>
          </w:tcPr>
          <w:p w14:paraId="2D24891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01</w:t>
            </w:r>
          </w:p>
        </w:tc>
        <w:tc>
          <w:tcPr>
            <w:tcW w:w="0" w:type="auto"/>
            <w:tcBorders>
              <w:top w:val="single" w:sz="8" w:space="0" w:color="000000"/>
              <w:left w:val="single" w:sz="8" w:space="0" w:color="000000"/>
              <w:bottom w:val="nil"/>
              <w:right w:val="nil"/>
            </w:tcBorders>
            <w:vAlign w:val="center"/>
          </w:tcPr>
          <w:p w14:paraId="6DAD3377"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89C47D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092D49B" w14:textId="77777777" w:rsidTr="00F90479">
        <w:trPr>
          <w:trHeight w:val="432"/>
        </w:trPr>
        <w:tc>
          <w:tcPr>
            <w:tcW w:w="0" w:type="auto"/>
            <w:tcBorders>
              <w:top w:val="single" w:sz="8" w:space="0" w:color="000000"/>
              <w:left w:val="single" w:sz="8" w:space="0" w:color="000000"/>
              <w:bottom w:val="nil"/>
              <w:right w:val="nil"/>
            </w:tcBorders>
            <w:vAlign w:val="center"/>
          </w:tcPr>
          <w:p w14:paraId="5504531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Các khoản chi phí</w:t>
            </w:r>
          </w:p>
        </w:tc>
        <w:tc>
          <w:tcPr>
            <w:tcW w:w="0" w:type="auto"/>
            <w:tcBorders>
              <w:top w:val="single" w:sz="8" w:space="0" w:color="000000"/>
              <w:left w:val="single" w:sz="8" w:space="0" w:color="000000"/>
              <w:bottom w:val="nil"/>
              <w:right w:val="nil"/>
            </w:tcBorders>
            <w:vAlign w:val="center"/>
          </w:tcPr>
          <w:p w14:paraId="21F49A02"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02</w:t>
            </w:r>
          </w:p>
        </w:tc>
        <w:tc>
          <w:tcPr>
            <w:tcW w:w="0" w:type="auto"/>
            <w:tcBorders>
              <w:top w:val="single" w:sz="8" w:space="0" w:color="000000"/>
              <w:left w:val="single" w:sz="8" w:space="0" w:color="000000"/>
              <w:bottom w:val="nil"/>
              <w:right w:val="nil"/>
            </w:tcBorders>
            <w:vAlign w:val="center"/>
          </w:tcPr>
          <w:p w14:paraId="3FC513D8"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6972C80"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3A0B258" w14:textId="77777777" w:rsidTr="00F90479">
        <w:trPr>
          <w:trHeight w:val="432"/>
        </w:trPr>
        <w:tc>
          <w:tcPr>
            <w:tcW w:w="0" w:type="auto"/>
            <w:tcBorders>
              <w:top w:val="single" w:sz="8" w:space="0" w:color="000000"/>
              <w:left w:val="single" w:sz="8" w:space="0" w:color="000000"/>
              <w:bottom w:val="nil"/>
              <w:right w:val="nil"/>
            </w:tcBorders>
            <w:vAlign w:val="center"/>
          </w:tcPr>
          <w:p w14:paraId="4BF341A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3. Lợi nhuận kế toán trước thuế TNDN {(03)= (01)-(02)}</w:t>
            </w:r>
          </w:p>
        </w:tc>
        <w:tc>
          <w:tcPr>
            <w:tcW w:w="0" w:type="auto"/>
            <w:tcBorders>
              <w:top w:val="single" w:sz="8" w:space="0" w:color="000000"/>
              <w:left w:val="single" w:sz="8" w:space="0" w:color="000000"/>
              <w:bottom w:val="nil"/>
              <w:right w:val="nil"/>
            </w:tcBorders>
            <w:vAlign w:val="center"/>
          </w:tcPr>
          <w:p w14:paraId="4E2AB3E8"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03</w:t>
            </w:r>
          </w:p>
        </w:tc>
        <w:tc>
          <w:tcPr>
            <w:tcW w:w="0" w:type="auto"/>
            <w:tcBorders>
              <w:top w:val="single" w:sz="8" w:space="0" w:color="000000"/>
              <w:left w:val="single" w:sz="8" w:space="0" w:color="000000"/>
              <w:bottom w:val="nil"/>
              <w:right w:val="nil"/>
            </w:tcBorders>
            <w:vAlign w:val="center"/>
          </w:tcPr>
          <w:p w14:paraId="57449802"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D885E90"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67237D3C" w14:textId="77777777" w:rsidTr="00F90479">
        <w:trPr>
          <w:trHeight w:val="432"/>
        </w:trPr>
        <w:tc>
          <w:tcPr>
            <w:tcW w:w="0" w:type="auto"/>
            <w:tcBorders>
              <w:top w:val="single" w:sz="8" w:space="0" w:color="000000"/>
              <w:left w:val="single" w:sz="8" w:space="0" w:color="000000"/>
              <w:bottom w:val="nil"/>
              <w:right w:val="nil"/>
            </w:tcBorders>
            <w:vAlign w:val="center"/>
          </w:tcPr>
          <w:p w14:paraId="76E6D9D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4. Chi phí thuế TNDN</w:t>
            </w:r>
          </w:p>
        </w:tc>
        <w:tc>
          <w:tcPr>
            <w:tcW w:w="0" w:type="auto"/>
            <w:tcBorders>
              <w:top w:val="single" w:sz="8" w:space="0" w:color="000000"/>
              <w:left w:val="single" w:sz="8" w:space="0" w:color="000000"/>
              <w:bottom w:val="nil"/>
              <w:right w:val="nil"/>
            </w:tcBorders>
            <w:vAlign w:val="center"/>
          </w:tcPr>
          <w:p w14:paraId="11411C40"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09E58DCF"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67DE769"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6F425CFA" w14:textId="77777777" w:rsidTr="00F90479">
        <w:trPr>
          <w:trHeight w:val="432"/>
        </w:trPr>
        <w:tc>
          <w:tcPr>
            <w:tcW w:w="0" w:type="auto"/>
            <w:tcBorders>
              <w:top w:val="single" w:sz="8" w:space="0" w:color="000000"/>
              <w:left w:val="single" w:sz="8" w:space="0" w:color="000000"/>
              <w:bottom w:val="single" w:sz="8" w:space="0" w:color="000000"/>
              <w:right w:val="nil"/>
            </w:tcBorders>
            <w:vAlign w:val="center"/>
          </w:tcPr>
          <w:p w14:paraId="57885BAF"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5. Lợi nhuận sau thuế TNDN {(20) = (03)-( 10)}</w:t>
            </w:r>
          </w:p>
        </w:tc>
        <w:tc>
          <w:tcPr>
            <w:tcW w:w="0" w:type="auto"/>
            <w:tcBorders>
              <w:top w:val="single" w:sz="8" w:space="0" w:color="000000"/>
              <w:left w:val="single" w:sz="8" w:space="0" w:color="000000"/>
              <w:bottom w:val="single" w:sz="8" w:space="0" w:color="000000"/>
              <w:right w:val="nil"/>
            </w:tcBorders>
            <w:vAlign w:val="center"/>
          </w:tcPr>
          <w:p w14:paraId="2532303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20</w:t>
            </w:r>
          </w:p>
        </w:tc>
        <w:tc>
          <w:tcPr>
            <w:tcW w:w="0" w:type="auto"/>
            <w:tcBorders>
              <w:top w:val="single" w:sz="8" w:space="0" w:color="000000"/>
              <w:left w:val="single" w:sz="8" w:space="0" w:color="000000"/>
              <w:bottom w:val="single" w:sz="8" w:space="0" w:color="000000"/>
              <w:right w:val="nil"/>
            </w:tcBorders>
            <w:vAlign w:val="center"/>
          </w:tcPr>
          <w:p w14:paraId="116FF663"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F4BEFFC" w14:textId="77777777" w:rsidR="00C5738A" w:rsidRPr="00925922" w:rsidRDefault="00C5738A" w:rsidP="00F90479">
            <w:pPr>
              <w:spacing w:after="0" w:line="240" w:lineRule="auto"/>
              <w:jc w:val="center"/>
              <w:rPr>
                <w:rFonts w:ascii="Arial" w:hAnsi="Arial" w:cs="Arial"/>
                <w:sz w:val="20"/>
                <w:szCs w:val="20"/>
              </w:rPr>
            </w:pPr>
          </w:p>
        </w:tc>
      </w:tr>
    </w:tbl>
    <w:p w14:paraId="6B684622" w14:textId="77777777" w:rsidR="00F90479" w:rsidRPr="00925922" w:rsidRDefault="00F90479" w:rsidP="00A106E5">
      <w:pPr>
        <w:spacing w:after="120" w:line="240" w:lineRule="auto"/>
        <w:ind w:firstLine="720"/>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309"/>
        <w:gridCol w:w="2551"/>
        <w:gridCol w:w="4166"/>
      </w:tblGrid>
      <w:tr w:rsidR="00F90479" w:rsidRPr="00925922" w14:paraId="079F4BC9" w14:textId="77777777" w:rsidTr="00F90479">
        <w:tc>
          <w:tcPr>
            <w:tcW w:w="0" w:type="auto"/>
          </w:tcPr>
          <w:p w14:paraId="6D16FDFD" w14:textId="77777777" w:rsidR="00F90479" w:rsidRPr="00925922" w:rsidRDefault="00F90479" w:rsidP="00551593">
            <w:pPr>
              <w:spacing w:after="0" w:line="240" w:lineRule="auto"/>
              <w:jc w:val="center"/>
              <w:rPr>
                <w:rFonts w:ascii="Arial" w:hAnsi="Arial" w:cs="Arial"/>
                <w:b/>
                <w:bCs/>
                <w:sz w:val="20"/>
                <w:szCs w:val="20"/>
              </w:rPr>
            </w:pPr>
            <w:r w:rsidRPr="00925922">
              <w:rPr>
                <w:rFonts w:ascii="Arial" w:hAnsi="Arial" w:cs="Arial"/>
                <w:b/>
                <w:bCs/>
                <w:sz w:val="20"/>
                <w:szCs w:val="20"/>
              </w:rPr>
              <w:t>NGƯỜI LẬP BIỂU</w:t>
            </w:r>
          </w:p>
          <w:p w14:paraId="261ACB79"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6CFC9E79" w14:textId="77777777" w:rsidR="00F90479" w:rsidRPr="00925922" w:rsidRDefault="00F90479" w:rsidP="00551593">
            <w:pPr>
              <w:spacing w:after="0" w:line="240" w:lineRule="auto"/>
              <w:jc w:val="center"/>
              <w:rPr>
                <w:rFonts w:ascii="Arial" w:hAnsi="Arial" w:cs="Arial"/>
                <w:b/>
                <w:bCs/>
                <w:sz w:val="20"/>
                <w:szCs w:val="20"/>
              </w:rPr>
            </w:pPr>
            <w:r w:rsidRPr="00925922">
              <w:rPr>
                <w:rFonts w:ascii="Arial" w:hAnsi="Arial" w:cs="Arial"/>
                <w:b/>
                <w:bCs/>
                <w:sz w:val="20"/>
                <w:szCs w:val="20"/>
              </w:rPr>
              <w:t>KẾ TOÁN TRƯỞNG</w:t>
            </w:r>
          </w:p>
          <w:p w14:paraId="325866AB"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04677861" w14:textId="77777777" w:rsidR="00F90479" w:rsidRPr="00925922" w:rsidRDefault="00F90479" w:rsidP="00551593">
            <w:pPr>
              <w:spacing w:after="0" w:line="240" w:lineRule="auto"/>
              <w:jc w:val="center"/>
              <w:rPr>
                <w:rFonts w:ascii="Arial" w:hAnsi="Arial" w:cs="Arial"/>
                <w:i/>
                <w:iCs/>
                <w:sz w:val="20"/>
                <w:szCs w:val="20"/>
              </w:rPr>
            </w:pPr>
            <w:r w:rsidRPr="00925922">
              <w:rPr>
                <w:rFonts w:ascii="Arial" w:hAnsi="Arial" w:cs="Arial"/>
                <w:i/>
                <w:iCs/>
                <w:sz w:val="20"/>
                <w:szCs w:val="20"/>
              </w:rPr>
              <w:t xml:space="preserve">Phê duyệt, ngày... tháng ... năm ... </w:t>
            </w:r>
          </w:p>
          <w:p w14:paraId="1081D4F1"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b/>
                <w:sz w:val="20"/>
                <w:szCs w:val="20"/>
              </w:rPr>
              <w:t>NGƯỜI ĐẠI DIỆN</w:t>
            </w:r>
          </w:p>
          <w:p w14:paraId="5FD2E1C3"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b/>
                <w:sz w:val="20"/>
                <w:szCs w:val="20"/>
              </w:rPr>
              <w:t>THEO PHÁP LUẬT</w:t>
            </w:r>
          </w:p>
          <w:p w14:paraId="382BE93B"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2656DADC" w14:textId="77777777" w:rsidR="00F90479" w:rsidRPr="00925922" w:rsidRDefault="00F90479" w:rsidP="00A106E5">
      <w:pPr>
        <w:spacing w:after="120" w:line="240" w:lineRule="auto"/>
        <w:ind w:firstLine="720"/>
        <w:jc w:val="both"/>
        <w:rPr>
          <w:rFonts w:ascii="Arial" w:hAnsi="Arial" w:cs="Arial"/>
          <w:sz w:val="20"/>
          <w:szCs w:val="20"/>
        </w:rPr>
      </w:pPr>
    </w:p>
    <w:p w14:paraId="2B649C98" w14:textId="77777777" w:rsidR="00925922"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Nội dung và phương pháp lập báo cáo tài chính </w:t>
      </w:r>
    </w:p>
    <w:p w14:paraId="057AB4E7" w14:textId="41DBE172"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w:t>
      </w:r>
      <w:r w:rsidR="00925922" w:rsidRPr="00925922">
        <w:rPr>
          <w:rFonts w:ascii="Arial" w:hAnsi="Arial" w:cs="Arial"/>
          <w:i/>
          <w:sz w:val="20"/>
          <w:szCs w:val="20"/>
        </w:rPr>
        <w:t>1</w:t>
      </w:r>
      <w:r w:rsidRPr="00925922">
        <w:rPr>
          <w:rFonts w:ascii="Arial" w:hAnsi="Arial" w:cs="Arial"/>
          <w:i/>
          <w:sz w:val="20"/>
          <w:szCs w:val="20"/>
        </w:rPr>
        <w:t>) Doanh thu và thu nhập thuần (Mã số 01)</w:t>
      </w:r>
    </w:p>
    <w:p w14:paraId="4F7AB8F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doanh thu thuần về bán hàng và cung cấp dịch vụ và thu nhập khác sau khi đã trừ đi các khoản giảm trừ doanh thu trong kỳ báo cáo (nếu có).</w:t>
      </w:r>
    </w:p>
    <w:p w14:paraId="3217AF2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tổng doanh thu bán hàng hóa, dịch vụ và các khoản thu nhập khác trên sổ chi tiết doanh thu, chi phí hoặc Sổ doanh thu bán hàng hóa, dịch vụ.</w:t>
      </w:r>
    </w:p>
    <w:p w14:paraId="51A764E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b2) Các khoản chi phí (Mã số 02)</w:t>
      </w:r>
    </w:p>
    <w:p w14:paraId="1DD7B84F" w14:textId="686FD63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số chi phí phát sinh trong kỳ báo cáo g</w:t>
      </w:r>
      <w:r w:rsidR="00EA21E5" w:rsidRPr="00925922">
        <w:rPr>
          <w:rFonts w:ascii="Arial" w:hAnsi="Arial" w:cs="Arial"/>
          <w:sz w:val="20"/>
          <w:szCs w:val="20"/>
        </w:rPr>
        <w:t>ồ</w:t>
      </w:r>
      <w:r w:rsidRPr="00925922">
        <w:rPr>
          <w:rFonts w:ascii="Arial" w:hAnsi="Arial" w:cs="Arial"/>
          <w:sz w:val="20"/>
          <w:szCs w:val="20"/>
        </w:rPr>
        <w:t>m chi phí nguyên vật liệu, chi phí nhân công, chi phí khấu hao tài sản cố định, chi phí dịch vụ mua ngoài, chi phí lãi vay,...</w:t>
      </w:r>
    </w:p>
    <w:p w14:paraId="77C66AD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tổng chi phí trong kỳ trên sổ chi tiết doanh thu, chi phí.</w:t>
      </w:r>
    </w:p>
    <w:p w14:paraId="11FE9B0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b3) Lợi nhuận kế toán trước thuế TNDN (Mã số 03)</w:t>
      </w:r>
    </w:p>
    <w:p w14:paraId="6F8DD6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số lợi nhuận thuần (hoặc lỗ) từ các hoạt động của doanh nghiệp siêu nhỏ. Số liệu để ghi vào chỉ tiêu này căn cứ vào số chênh lệch giữa doanh thu và thu nhập thuần với các khoản chi phí trong kỳ.</w:t>
      </w:r>
    </w:p>
    <w:p w14:paraId="2F7165B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03 = Mã số 01 - Mã số 02.</w:t>
      </w:r>
    </w:p>
    <w:p w14:paraId="2C58FB2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b4) Chi phí thuế TNDN (Mã số 10)</w:t>
      </w:r>
    </w:p>
    <w:p w14:paraId="6CA895F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chi phí thuế TNDN phải nộp trong năm báo cáo theo quy định của pháp luật thuế, số liệu để ghi vào chỉ tiêu này căn cứ vào tổng số thuế TNDN phải nộp trên sổ chi tiết doanh thu, chi phí.</w:t>
      </w:r>
    </w:p>
    <w:p w14:paraId="1A8DC31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b5) Lợi nhuận sau thuế TNDN (Mã số 20)</w:t>
      </w:r>
    </w:p>
    <w:p w14:paraId="4B819F7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lợi nhuận sau thuế TNDN của doanh nghiệp siêu nhỏ trong năm báo cáo.</w:t>
      </w:r>
    </w:p>
    <w:p w14:paraId="46CFAA3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chênh lệch giữa lợi nhuận kế toán trước thuế TNDN và chi phí thuế TNDN.</w:t>
      </w:r>
    </w:p>
    <w:p w14:paraId="27C0ED5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20 = Mã số 03 - Mã số 10.</w:t>
      </w:r>
    </w:p>
    <w:p w14:paraId="0F79DFFE" w14:textId="77777777" w:rsidR="00F90479" w:rsidRPr="00925922" w:rsidRDefault="00F90479" w:rsidP="00F90479">
      <w:pPr>
        <w:spacing w:after="0" w:line="240" w:lineRule="auto"/>
        <w:jc w:val="center"/>
        <w:rPr>
          <w:rFonts w:ascii="Arial" w:hAnsi="Arial" w:cs="Arial"/>
          <w:b/>
          <w:sz w:val="20"/>
          <w:szCs w:val="20"/>
        </w:rPr>
      </w:pPr>
    </w:p>
    <w:p w14:paraId="2F5E371D" w14:textId="12DEFC18"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 xml:space="preserve">Chương III </w:t>
      </w:r>
    </w:p>
    <w:p w14:paraId="4C752DD3" w14:textId="77777777" w:rsidR="00C5738A" w:rsidRPr="00925922" w:rsidRDefault="00000000" w:rsidP="00F90479">
      <w:pPr>
        <w:spacing w:after="0" w:line="240" w:lineRule="auto"/>
        <w:jc w:val="center"/>
        <w:rPr>
          <w:rFonts w:ascii="Arial" w:hAnsi="Arial" w:cs="Arial"/>
          <w:b/>
          <w:sz w:val="20"/>
          <w:szCs w:val="20"/>
        </w:rPr>
      </w:pPr>
      <w:r w:rsidRPr="00925922">
        <w:rPr>
          <w:rFonts w:ascii="Arial" w:hAnsi="Arial" w:cs="Arial"/>
          <w:b/>
          <w:sz w:val="20"/>
          <w:szCs w:val="20"/>
        </w:rPr>
        <w:t>TỔ CHỨC THỰC HIỆN</w:t>
      </w:r>
    </w:p>
    <w:p w14:paraId="05053AC4" w14:textId="77777777" w:rsidR="00F90479" w:rsidRPr="00925922" w:rsidRDefault="00F90479" w:rsidP="00F90479">
      <w:pPr>
        <w:spacing w:after="0" w:line="240" w:lineRule="auto"/>
        <w:jc w:val="center"/>
        <w:rPr>
          <w:rFonts w:ascii="Arial" w:hAnsi="Arial" w:cs="Arial"/>
          <w:sz w:val="20"/>
          <w:szCs w:val="20"/>
        </w:rPr>
      </w:pPr>
    </w:p>
    <w:p w14:paraId="466BCCC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11. Chuyển số dư trên sổ kế toán</w:t>
      </w:r>
    </w:p>
    <w:p w14:paraId="309B889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Doanh nghiệp siêu nhỏ căn cứ vào số dư các tài khoản kế toán theo quy định tại Thông tư số 132/2018/TT-BTC ngày 28/12/2018 của Bộ trưởng Bộ Tài chính hướng dẫn chế độ kế toán cho doanh nghiệp siêu nhỏ để thực hiện chuyển vào các sổ kế toán liên quan khi áp dụng Thông tư này như sau:</w:t>
      </w:r>
    </w:p>
    <w:p w14:paraId="59D3FFB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 Doanh nghiệp căn cứ vào số dư Nợ của TK 1111 </w:t>
      </w:r>
      <w:r w:rsidRPr="00925922">
        <w:rPr>
          <w:rFonts w:ascii="Arial" w:hAnsi="Arial" w:cs="Arial"/>
          <w:i/>
          <w:sz w:val="20"/>
          <w:szCs w:val="20"/>
        </w:rPr>
        <w:t>"Tiền mặt"</w:t>
      </w:r>
      <w:r w:rsidRPr="00925922">
        <w:rPr>
          <w:rFonts w:ascii="Arial" w:hAnsi="Arial" w:cs="Arial"/>
          <w:sz w:val="20"/>
          <w:szCs w:val="20"/>
        </w:rPr>
        <w:t xml:space="preserve"> chuyển sang số dư đầu kỳ của sổ chi tiết tiền (chi tiết phần tiền mặt), số dư Nợ của TK 1112 </w:t>
      </w:r>
      <w:r w:rsidRPr="00925922">
        <w:rPr>
          <w:rFonts w:ascii="Arial" w:hAnsi="Arial" w:cs="Arial"/>
          <w:i/>
          <w:sz w:val="20"/>
          <w:szCs w:val="20"/>
        </w:rPr>
        <w:t>"Tiền gửi ngân hàng"</w:t>
      </w:r>
      <w:r w:rsidRPr="00925922">
        <w:rPr>
          <w:rFonts w:ascii="Arial" w:hAnsi="Arial" w:cs="Arial"/>
          <w:sz w:val="20"/>
          <w:szCs w:val="20"/>
        </w:rPr>
        <w:t xml:space="preserve"> chuyển sang số dư đầu kỳ của Sổ chi tiết tiền (chi tiết phần tiền gửi không kỳ hạn (tiền gửi để thanh toán) tại các ngân hàng và tổ chức cung ứng dịch vụ thanh toán theo quy định của pháp luật;</w:t>
      </w:r>
    </w:p>
    <w:p w14:paraId="3505064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Doanh nghiệp căn cứ vào số dư Nợ TK 1311 </w:t>
      </w:r>
      <w:r w:rsidRPr="00925922">
        <w:rPr>
          <w:rFonts w:ascii="Arial" w:hAnsi="Arial" w:cs="Arial"/>
          <w:i/>
          <w:sz w:val="20"/>
          <w:szCs w:val="20"/>
        </w:rPr>
        <w:t>“Phải thu khách hàng”,</w:t>
      </w:r>
      <w:r w:rsidRPr="00925922">
        <w:rPr>
          <w:rFonts w:ascii="Arial" w:hAnsi="Arial" w:cs="Arial"/>
          <w:sz w:val="20"/>
          <w:szCs w:val="20"/>
        </w:rPr>
        <w:t xml:space="preserve"> số dư Nợ TK 1318 </w:t>
      </w:r>
      <w:r w:rsidRPr="00925922">
        <w:rPr>
          <w:rFonts w:ascii="Arial" w:hAnsi="Arial" w:cs="Arial"/>
          <w:i/>
          <w:sz w:val="20"/>
          <w:szCs w:val="20"/>
        </w:rPr>
        <w:t>“Các khoản nợ phải thu khác”,</w:t>
      </w:r>
      <w:r w:rsidRPr="00925922">
        <w:rPr>
          <w:rFonts w:ascii="Arial" w:hAnsi="Arial" w:cs="Arial"/>
          <w:sz w:val="20"/>
          <w:szCs w:val="20"/>
        </w:rPr>
        <w:t xml:space="preserve"> số dư Có TK 3311 </w:t>
      </w:r>
      <w:r w:rsidRPr="00925922">
        <w:rPr>
          <w:rFonts w:ascii="Arial" w:hAnsi="Arial" w:cs="Arial"/>
          <w:i/>
          <w:sz w:val="20"/>
          <w:szCs w:val="20"/>
        </w:rPr>
        <w:t>“Phải trả người lao động”,</w:t>
      </w:r>
      <w:r w:rsidRPr="00925922">
        <w:rPr>
          <w:rFonts w:ascii="Arial" w:hAnsi="Arial" w:cs="Arial"/>
          <w:sz w:val="20"/>
          <w:szCs w:val="20"/>
        </w:rPr>
        <w:t xml:space="preserve"> số dư Có TK 3312 </w:t>
      </w:r>
      <w:r w:rsidRPr="00925922">
        <w:rPr>
          <w:rFonts w:ascii="Arial" w:hAnsi="Arial" w:cs="Arial"/>
          <w:i/>
          <w:sz w:val="20"/>
          <w:szCs w:val="20"/>
        </w:rPr>
        <w:t>“Các khoản trích theo lương”,</w:t>
      </w:r>
      <w:r w:rsidRPr="00925922">
        <w:rPr>
          <w:rFonts w:ascii="Arial" w:hAnsi="Arial" w:cs="Arial"/>
          <w:sz w:val="20"/>
          <w:szCs w:val="20"/>
        </w:rPr>
        <w:t xml:space="preserve"> số dư Có TK 3318 “Các </w:t>
      </w:r>
      <w:r w:rsidRPr="00925922">
        <w:rPr>
          <w:rFonts w:ascii="Arial" w:hAnsi="Arial" w:cs="Arial"/>
          <w:i/>
          <w:sz w:val="20"/>
          <w:szCs w:val="20"/>
        </w:rPr>
        <w:t>khoản nợ phải trả khác”,</w:t>
      </w:r>
      <w:r w:rsidRPr="00925922">
        <w:rPr>
          <w:rFonts w:ascii="Arial" w:hAnsi="Arial" w:cs="Arial"/>
          <w:sz w:val="20"/>
          <w:szCs w:val="20"/>
        </w:rPr>
        <w:t xml:space="preserve"> chuyển sang số dư đầu kỳ tương ứng với các khoản nợ phải thu hoặc các khoản nợ phải trả của sổ chi tiết thanh toán công nợ theo từng đối tượng công nợ;</w:t>
      </w:r>
    </w:p>
    <w:p w14:paraId="1CCF085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c) Doanh nghiệp căn cứ vào số dư Nợ TK 1313 </w:t>
      </w:r>
      <w:r w:rsidRPr="00925922">
        <w:rPr>
          <w:rFonts w:ascii="Arial" w:hAnsi="Arial" w:cs="Arial"/>
          <w:i/>
          <w:sz w:val="20"/>
          <w:szCs w:val="20"/>
        </w:rPr>
        <w:t>“Thuế GTGT được khấu trừ”,</w:t>
      </w:r>
      <w:r w:rsidRPr="00925922">
        <w:rPr>
          <w:rFonts w:ascii="Arial" w:hAnsi="Arial" w:cs="Arial"/>
          <w:sz w:val="20"/>
          <w:szCs w:val="20"/>
        </w:rPr>
        <w:t xml:space="preserve"> số dư Có TK 33131 </w:t>
      </w:r>
      <w:r w:rsidRPr="00925922">
        <w:rPr>
          <w:rFonts w:ascii="Arial" w:hAnsi="Arial" w:cs="Arial"/>
          <w:i/>
          <w:sz w:val="20"/>
          <w:szCs w:val="20"/>
        </w:rPr>
        <w:t>“Thuế GTGT phải nộp”</w:t>
      </w:r>
      <w:r w:rsidRPr="00925922">
        <w:rPr>
          <w:rFonts w:ascii="Arial" w:hAnsi="Arial" w:cs="Arial"/>
          <w:sz w:val="20"/>
          <w:szCs w:val="20"/>
        </w:rPr>
        <w:t xml:space="preserve"> chuyển sang các dòng tương ứng với số thuế GTGT đầu vào hoặc số thuế GTGT đầu ra trên sổ theo dõi nghĩa vụ thuế GTGT;</w:t>
      </w:r>
    </w:p>
    <w:p w14:paraId="4D7EF78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d) Doanh nghiệp căn cứ số dư Nợ TK 1521 </w:t>
      </w:r>
      <w:r w:rsidRPr="00925922">
        <w:rPr>
          <w:rFonts w:ascii="Arial" w:hAnsi="Arial" w:cs="Arial"/>
          <w:i/>
          <w:sz w:val="20"/>
          <w:szCs w:val="20"/>
        </w:rPr>
        <w:t>“Nguyên vật liệu, dụng cụ”,</w:t>
      </w:r>
      <w:r w:rsidRPr="00925922">
        <w:rPr>
          <w:rFonts w:ascii="Arial" w:hAnsi="Arial" w:cs="Arial"/>
          <w:sz w:val="20"/>
          <w:szCs w:val="20"/>
        </w:rPr>
        <w:t xml:space="preserve"> TK 1524 </w:t>
      </w:r>
      <w:r w:rsidRPr="00925922">
        <w:rPr>
          <w:rFonts w:ascii="Arial" w:hAnsi="Arial" w:cs="Arial"/>
          <w:i/>
          <w:sz w:val="20"/>
          <w:szCs w:val="20"/>
        </w:rPr>
        <w:t>“Chi phí sản xuất kinh doanh dở dang”,</w:t>
      </w:r>
      <w:r w:rsidRPr="00925922">
        <w:rPr>
          <w:rFonts w:ascii="Arial" w:hAnsi="Arial" w:cs="Arial"/>
          <w:sz w:val="20"/>
          <w:szCs w:val="20"/>
        </w:rPr>
        <w:t xml:space="preserve"> TK 1526 </w:t>
      </w:r>
      <w:r w:rsidRPr="00925922">
        <w:rPr>
          <w:rFonts w:ascii="Arial" w:hAnsi="Arial" w:cs="Arial"/>
          <w:i/>
          <w:sz w:val="20"/>
          <w:szCs w:val="20"/>
        </w:rPr>
        <w:t>“Thành phẩm, hàng hóa”</w:t>
      </w:r>
      <w:r w:rsidRPr="00925922">
        <w:rPr>
          <w:rFonts w:ascii="Arial" w:hAnsi="Arial" w:cs="Arial"/>
          <w:sz w:val="20"/>
          <w:szCs w:val="20"/>
        </w:rPr>
        <w:t xml:space="preserve"> chuyển sang số dư đầu kỳ trên sổ chi tiết vật liệu, dụng cụ, sản phẩm, hàng hóa mở chi tiết cho từng vật liệu, dụng cụ, sản phẩm, hàng hóa;</w:t>
      </w:r>
    </w:p>
    <w:p w14:paraId="1AEB93D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đ) Doanh nghiệp căn cứ số dư Nợ TK 211 </w:t>
      </w:r>
      <w:r w:rsidRPr="00925922">
        <w:rPr>
          <w:rFonts w:ascii="Arial" w:hAnsi="Arial" w:cs="Arial"/>
          <w:i/>
          <w:sz w:val="20"/>
          <w:szCs w:val="20"/>
        </w:rPr>
        <w:t>“Tài sản cố định”</w:t>
      </w:r>
      <w:r w:rsidRPr="00925922">
        <w:rPr>
          <w:rFonts w:ascii="Arial" w:hAnsi="Arial" w:cs="Arial"/>
          <w:sz w:val="20"/>
          <w:szCs w:val="20"/>
        </w:rPr>
        <w:t xml:space="preserve"> chuyển sang số dư đầu kỳ của sổ Tài sản cố định;</w:t>
      </w:r>
    </w:p>
    <w:p w14:paraId="5A92B09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e) Doanh nghiệp căn cứ số dư Có của các TK 33134 </w:t>
      </w:r>
      <w:r w:rsidRPr="00925922">
        <w:rPr>
          <w:rFonts w:ascii="Arial" w:hAnsi="Arial" w:cs="Arial"/>
          <w:i/>
          <w:sz w:val="20"/>
          <w:szCs w:val="20"/>
        </w:rPr>
        <w:t>“Thuế thu nhập doanh nghiệp”,</w:t>
      </w:r>
      <w:r w:rsidRPr="00925922">
        <w:rPr>
          <w:rFonts w:ascii="Arial" w:hAnsi="Arial" w:cs="Arial"/>
          <w:sz w:val="20"/>
          <w:szCs w:val="20"/>
        </w:rPr>
        <w:t xml:space="preserve"> TK 33138 </w:t>
      </w:r>
      <w:r w:rsidRPr="00925922">
        <w:rPr>
          <w:rFonts w:ascii="Arial" w:hAnsi="Arial" w:cs="Arial"/>
          <w:i/>
          <w:sz w:val="20"/>
          <w:szCs w:val="20"/>
        </w:rPr>
        <w:t>“Thuế khác, phí, lệ phí và các khoản khác phải nộp Nhà nước”</w:t>
      </w:r>
      <w:r w:rsidRPr="00925922">
        <w:rPr>
          <w:rFonts w:ascii="Arial" w:hAnsi="Arial" w:cs="Arial"/>
          <w:sz w:val="20"/>
          <w:szCs w:val="20"/>
        </w:rPr>
        <w:t xml:space="preserve"> chuyển sang số dư đầu kỳ của các cột tương ứng trên sổ doanh thu bán hàng hóa, dịch vụ hoặc sổ theo dõi thuế GTGT (đối với thuế GTGT), sổ chi tiết doanh thu, chi phí (đối với thuế TNDN) và sổ chi tiết thanh toán công nợ (đối với thuế thu nhập cá nhân và các loại thuế khác);</w:t>
      </w:r>
    </w:p>
    <w:p w14:paraId="488D476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g) Doanh nghiệp căn cứ số dư Có của các TK 4111 </w:t>
      </w:r>
      <w:r w:rsidRPr="00925922">
        <w:rPr>
          <w:rFonts w:ascii="Arial" w:hAnsi="Arial" w:cs="Arial"/>
          <w:i/>
          <w:sz w:val="20"/>
          <w:szCs w:val="20"/>
        </w:rPr>
        <w:t>“Vốn góp của chủ sở hữu”,</w:t>
      </w:r>
      <w:r w:rsidRPr="00925922">
        <w:rPr>
          <w:rFonts w:ascii="Arial" w:hAnsi="Arial" w:cs="Arial"/>
          <w:sz w:val="20"/>
          <w:szCs w:val="20"/>
        </w:rPr>
        <w:t xml:space="preserve"> TK 4118 “Lợi </w:t>
      </w:r>
      <w:r w:rsidRPr="00925922">
        <w:rPr>
          <w:rFonts w:ascii="Arial" w:hAnsi="Arial" w:cs="Arial"/>
          <w:i/>
          <w:sz w:val="20"/>
          <w:szCs w:val="20"/>
        </w:rPr>
        <w:t>nhuận sau thuế chưa phân phối”</w:t>
      </w:r>
      <w:r w:rsidRPr="00925922">
        <w:rPr>
          <w:rFonts w:ascii="Arial" w:hAnsi="Arial" w:cs="Arial"/>
          <w:sz w:val="20"/>
          <w:szCs w:val="20"/>
        </w:rPr>
        <w:t xml:space="preserve"> chuyển sang số dư đầu kỳ của Sổ theo dõi vốn chủ sở hữu (chi tiết vốn góp của chủ sở hữu và lợi nhuận sau thuế chưa phân phối).</w:t>
      </w:r>
    </w:p>
    <w:p w14:paraId="6EF91D3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Doanh nghiệp siêu nhỏ khi thay đổi chế độ kế toán áp dụng (do chuyển đổi phương pháp nộp thuế GTGT, thuế TNDN theo quy định của pháp luật thuế hoặc do lựa chọn hoặc bỏ lựa chọn áp dụng chế độ kế toán cho doanh nghiệp nhỏ và vừa) thì căn cứ số dư cuối kỳ trên các sổ kế toán kỳ trước để chuyển sang số dư đầu kỳ của sổ kế toán tương ứng ở kỳ sau cho phù hợp.</w:t>
      </w:r>
    </w:p>
    <w:p w14:paraId="65E3EA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12. Hiệu lực thi hành</w:t>
      </w:r>
    </w:p>
    <w:p w14:paraId="7399D1B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Thông tư này có hiệu lực thi hành kể từ ngày 01/7/2026 và áp dụng cho năm tài chính bắt đầu từ ngày hoặc sau ngày 01/7/2026.</w:t>
      </w:r>
    </w:p>
    <w:p w14:paraId="6F0F88F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Thông tư số 132/2018/TT-BTC ngày 28/12/2018 của Bộ trưởng Bộ Tài chính hướng dẫn chế độ kế toán cho doanh nghiệp siêu nhỏ hết hiệu lực kể từ ngày Thông tư này có hiệu lực thi hành.</w:t>
      </w:r>
    </w:p>
    <w:p w14:paraId="42062ECB" w14:textId="409E2FD5"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3. </w:t>
      </w:r>
      <w:r w:rsidR="008F0D9D" w:rsidRPr="00925922">
        <w:rPr>
          <w:rFonts w:ascii="Arial" w:hAnsi="Arial" w:cs="Arial"/>
          <w:sz w:val="20"/>
          <w:szCs w:val="20"/>
        </w:rPr>
        <w:t>Ủy ban</w:t>
      </w:r>
      <w:r w:rsidRPr="00925922">
        <w:rPr>
          <w:rFonts w:ascii="Arial" w:hAnsi="Arial" w:cs="Arial"/>
          <w:sz w:val="20"/>
          <w:szCs w:val="20"/>
        </w:rPr>
        <w:t xml:space="preserve"> Nhân dân, Sở Tài chính, Thuế các tỉnh, thành phố trực thuộc Trung ương có trách nhiệm triển khai hướng dẫn các doanh nghiệp siêu nhỏ thực hiện Thông tư này.</w:t>
      </w:r>
    </w:p>
    <w:p w14:paraId="023DEB1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4. Trong quá trình thực hiện nếu có vướng mắc, đề nghị phản ánh về Bộ Tài chính để nghiên cứu giải quyết.</w:t>
      </w:r>
    </w:p>
    <w:p w14:paraId="58B723C0" w14:textId="77777777" w:rsidR="00F90479" w:rsidRPr="00925922" w:rsidRDefault="00F90479" w:rsidP="00F90479">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221"/>
        <w:gridCol w:w="3805"/>
      </w:tblGrid>
      <w:tr w:rsidR="00C5738A" w:rsidRPr="00925922" w14:paraId="06F7C45A" w14:textId="77777777" w:rsidTr="00F90479">
        <w:tc>
          <w:tcPr>
            <w:tcW w:w="2892" w:type="pct"/>
          </w:tcPr>
          <w:p w14:paraId="1C71179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i/>
                <w:sz w:val="20"/>
                <w:szCs w:val="20"/>
              </w:rPr>
              <w:t>Nơi nhận:</w:t>
            </w:r>
          </w:p>
          <w:p w14:paraId="39A3D3B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Ban Bí thư Trung ương Đảng;</w:t>
            </w:r>
          </w:p>
          <w:p w14:paraId="5CFD7FEC"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Thủ tướng và các Phó Thủ tướng Chính phủ;</w:t>
            </w:r>
          </w:p>
          <w:p w14:paraId="0421714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Trung ương và các Ban của Đảng;</w:t>
            </w:r>
          </w:p>
          <w:p w14:paraId="120383E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Tổng Bí thư;</w:t>
            </w:r>
          </w:p>
          <w:p w14:paraId="2BE7862A"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Quốc hội;</w:t>
            </w:r>
          </w:p>
          <w:p w14:paraId="6C12C5E8" w14:textId="32914FA4"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xml:space="preserve">- Hội đồng dân tộc và các </w:t>
            </w:r>
            <w:r w:rsidR="008F0D9D" w:rsidRPr="00925922">
              <w:rPr>
                <w:rFonts w:ascii="Arial" w:hAnsi="Arial" w:cs="Arial"/>
                <w:sz w:val="20"/>
                <w:szCs w:val="20"/>
              </w:rPr>
              <w:t>Ủy ban</w:t>
            </w:r>
            <w:r w:rsidRPr="00925922">
              <w:rPr>
                <w:rFonts w:ascii="Arial" w:hAnsi="Arial" w:cs="Arial"/>
                <w:sz w:val="20"/>
                <w:szCs w:val="20"/>
              </w:rPr>
              <w:t xml:space="preserve"> của Quốc hội;</w:t>
            </w:r>
          </w:p>
          <w:p w14:paraId="273F4E8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Chủ tịch nước;</w:t>
            </w:r>
          </w:p>
          <w:p w14:paraId="42B3F3E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Viện kiểm sát nhân dân tối cao;</w:t>
            </w:r>
          </w:p>
          <w:p w14:paraId="0CA07F2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Tòa án nhân dân tối cao;</w:t>
            </w:r>
          </w:p>
          <w:p w14:paraId="043A77F3"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Kiểm toán nhà nước;</w:t>
            </w:r>
          </w:p>
          <w:p w14:paraId="52186005" w14:textId="71D4BFF9"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xml:space="preserve">- </w:t>
            </w:r>
            <w:r w:rsidR="008F0D9D" w:rsidRPr="00925922">
              <w:rPr>
                <w:rFonts w:ascii="Arial" w:hAnsi="Arial" w:cs="Arial"/>
                <w:sz w:val="20"/>
                <w:szCs w:val="20"/>
              </w:rPr>
              <w:t>Ủy ban</w:t>
            </w:r>
            <w:r w:rsidRPr="00925922">
              <w:rPr>
                <w:rFonts w:ascii="Arial" w:hAnsi="Arial" w:cs="Arial"/>
                <w:sz w:val="20"/>
                <w:szCs w:val="20"/>
              </w:rPr>
              <w:t xml:space="preserve"> trung ương Mặt trận Tổ quốc Việt Nam;</w:t>
            </w:r>
          </w:p>
          <w:p w14:paraId="0C28893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Liên đoàn Thương mại và Công nghiệp Việt Nam;</w:t>
            </w:r>
          </w:p>
          <w:p w14:paraId="0A25D8CF"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w:t>
            </w:r>
            <w:r w:rsidRPr="00925922">
              <w:rPr>
                <w:rFonts w:ascii="Arial" w:hAnsi="Arial" w:cs="Arial"/>
                <w:i/>
                <w:sz w:val="20"/>
                <w:szCs w:val="20"/>
              </w:rPr>
              <w:t xml:space="preserve">  </w:t>
            </w:r>
            <w:r w:rsidRPr="00925922">
              <w:rPr>
                <w:rFonts w:ascii="Arial" w:hAnsi="Arial" w:cs="Arial"/>
                <w:sz w:val="20"/>
                <w:szCs w:val="20"/>
              </w:rPr>
              <w:t>Các Bộ, cơ quan ngang Bộ;</w:t>
            </w:r>
          </w:p>
          <w:p w14:paraId="68FB2309"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HĐNĐ, UBND các tỉnh, thành phố trực thuộc TW;</w:t>
            </w:r>
          </w:p>
          <w:p w14:paraId="057C0610"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Sở Tài chính các tỉnh, thành phố trực thuộc TW;</w:t>
            </w:r>
          </w:p>
          <w:p w14:paraId="0201359C"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Thuế các tỉnh, thành phố trực thuộc TW;</w:t>
            </w:r>
          </w:p>
          <w:p w14:paraId="0372521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Cục Kiểm tra văn bản và Quản lý xử lý vi phạm hành chính (Bộ Tư pháp);</w:t>
            </w:r>
          </w:p>
          <w:p w14:paraId="53C389C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Hiệp hội Kế toán và Kiểm toán Việt Nam;</w:t>
            </w:r>
          </w:p>
          <w:p w14:paraId="0F899731"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Hội Kiểm toán viên hành nghề Việt Nam;</w:t>
            </w:r>
          </w:p>
          <w:p w14:paraId="2C79D951"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Cơ sở dữ liệu quốc gia về pháp luật;</w:t>
            </w:r>
          </w:p>
          <w:p w14:paraId="5992B9D6"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Công báo; cổng thông tin điện tử: Chính phủ, Bộ Tài chính;</w:t>
            </w:r>
          </w:p>
          <w:p w14:paraId="6CF0368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Các đơn vị thuộc và trực thuộc Bộ Tài chính;</w:t>
            </w:r>
          </w:p>
          <w:p w14:paraId="5668FFE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Lưu: VT, Cục QLKT (50bản)</w:t>
            </w:r>
          </w:p>
        </w:tc>
        <w:tc>
          <w:tcPr>
            <w:tcW w:w="2108" w:type="pct"/>
          </w:tcPr>
          <w:p w14:paraId="152E54E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KT. BỘ TRƯỞNG</w:t>
            </w:r>
          </w:p>
          <w:p w14:paraId="2D7BF1CB" w14:textId="096FC3E6"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THỨ TRƯỞNG</w:t>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b/>
                <w:sz w:val="20"/>
                <w:szCs w:val="20"/>
              </w:rPr>
              <w:t>Tạ Anh Tuấ</w:t>
            </w:r>
            <w:r w:rsidR="00F90479" w:rsidRPr="00925922">
              <w:rPr>
                <w:rFonts w:ascii="Arial" w:hAnsi="Arial" w:cs="Arial"/>
                <w:b/>
                <w:sz w:val="20"/>
                <w:szCs w:val="20"/>
              </w:rPr>
              <w:t>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