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4112"/>
        <w:gridCol w:w="4914"/>
      </w:tblGrid>
      <w:tr w:rsidR="000E538C" w:rsidRPr="00E75B72" w14:paraId="07824E60" w14:textId="77777777" w:rsidTr="00F82219">
        <w:tc>
          <w:tcPr>
            <w:tcW w:w="2278" w:type="pct"/>
          </w:tcPr>
          <w:p w14:paraId="08BD1E3C" w14:textId="3342AB4B" w:rsidR="00F543AB" w:rsidRPr="00E75B72" w:rsidRDefault="00000000" w:rsidP="00162306">
            <w:pPr>
              <w:adjustRightInd w:val="0"/>
              <w:snapToGrid w:val="0"/>
              <w:spacing w:after="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QUỐC</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HỘI</w:t>
            </w:r>
            <w:r w:rsidRPr="00E75B72">
              <w:rPr>
                <w:rFonts w:ascii="Arial" w:hAnsi="Arial" w:cs="Arial"/>
                <w:color w:val="000000" w:themeColor="text1"/>
                <w:sz w:val="20"/>
                <w:szCs w:val="20"/>
              </w:rPr>
              <w:br/>
            </w:r>
            <w:r w:rsidRPr="00E75B72">
              <w:rPr>
                <w:rFonts w:ascii="Arial" w:hAnsi="Arial" w:cs="Arial"/>
                <w:color w:val="000000" w:themeColor="text1"/>
                <w:sz w:val="20"/>
                <w:szCs w:val="20"/>
                <w:vertAlign w:val="superscript"/>
              </w:rPr>
              <w:t>_______</w:t>
            </w:r>
            <w:r w:rsidRPr="00E75B72">
              <w:rPr>
                <w:rFonts w:ascii="Arial" w:hAnsi="Arial" w:cs="Arial"/>
                <w:color w:val="000000" w:themeColor="text1"/>
                <w:sz w:val="20"/>
                <w:szCs w:val="20"/>
              </w:rPr>
              <w:br/>
            </w:r>
            <w:r w:rsidR="00CE1B40" w:rsidRPr="00E75B72">
              <w:rPr>
                <w:rFonts w:ascii="Arial" w:hAnsi="Arial" w:cs="Arial"/>
                <w:color w:val="000000" w:themeColor="text1"/>
                <w:sz w:val="20"/>
                <w:szCs w:val="20"/>
              </w:rPr>
              <w:br/>
            </w:r>
            <w:r w:rsidRPr="00E75B72">
              <w:rPr>
                <w:rFonts w:ascii="Arial" w:hAnsi="Arial" w:cs="Arial"/>
                <w:color w:val="000000" w:themeColor="text1"/>
                <w:sz w:val="20"/>
                <w:szCs w:val="20"/>
              </w:rPr>
              <w:t>Luật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số:</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09/2026/QH16</w:t>
            </w:r>
          </w:p>
        </w:tc>
        <w:tc>
          <w:tcPr>
            <w:tcW w:w="2722" w:type="pct"/>
          </w:tcPr>
          <w:p w14:paraId="5A3D94CC" w14:textId="7C0C5D2C" w:rsidR="00F543AB" w:rsidRPr="00E75B72" w:rsidRDefault="00000000" w:rsidP="00CE1B40">
            <w:pPr>
              <w:adjustRightInd w:val="0"/>
              <w:snapToGrid w:val="0"/>
              <w:spacing w:after="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CỘNG</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HÒA</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XÃ</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HỘI</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CHỦ</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NGHĨA</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VIỆT</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NAM</w:t>
            </w:r>
            <w:r w:rsidRPr="00E75B72">
              <w:rPr>
                <w:rFonts w:ascii="Arial" w:hAnsi="Arial" w:cs="Arial"/>
                <w:color w:val="000000" w:themeColor="text1"/>
                <w:sz w:val="20"/>
                <w:szCs w:val="20"/>
              </w:rPr>
              <w:br/>
            </w:r>
            <w:r w:rsidRPr="00E75B72">
              <w:rPr>
                <w:rFonts w:ascii="Arial" w:hAnsi="Arial" w:cs="Arial"/>
                <w:b/>
                <w:color w:val="000000" w:themeColor="text1"/>
                <w:sz w:val="20"/>
                <w:szCs w:val="20"/>
              </w:rPr>
              <w:t>Độc</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lập</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Tự</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do</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Hạnh</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phúc</w:t>
            </w:r>
            <w:r w:rsidRPr="00E75B72">
              <w:rPr>
                <w:rFonts w:ascii="Arial" w:hAnsi="Arial" w:cs="Arial"/>
                <w:color w:val="000000" w:themeColor="text1"/>
                <w:sz w:val="20"/>
                <w:szCs w:val="20"/>
              </w:rPr>
              <w:br/>
            </w:r>
            <w:r w:rsidRPr="00E75B72">
              <w:rPr>
                <w:rFonts w:ascii="Arial" w:hAnsi="Arial" w:cs="Arial"/>
                <w:color w:val="000000" w:themeColor="text1"/>
                <w:sz w:val="20"/>
                <w:szCs w:val="20"/>
                <w:vertAlign w:val="superscript"/>
              </w:rPr>
              <w:t>_________________</w:t>
            </w:r>
          </w:p>
        </w:tc>
      </w:tr>
    </w:tbl>
    <w:p w14:paraId="5DCE97BF" w14:textId="77777777" w:rsidR="00CE1B40" w:rsidRPr="00E75B72" w:rsidRDefault="00CE1B40" w:rsidP="00CE1B40">
      <w:pPr>
        <w:adjustRightInd w:val="0"/>
        <w:snapToGrid w:val="0"/>
        <w:spacing w:after="0" w:line="240" w:lineRule="auto"/>
        <w:jc w:val="center"/>
        <w:rPr>
          <w:rFonts w:ascii="Arial" w:hAnsi="Arial" w:cs="Arial"/>
          <w:b/>
          <w:color w:val="000000" w:themeColor="text1"/>
          <w:sz w:val="20"/>
          <w:szCs w:val="20"/>
        </w:rPr>
      </w:pPr>
    </w:p>
    <w:p w14:paraId="7675CA9E" w14:textId="77777777" w:rsidR="00CE1B40" w:rsidRPr="00E75B72" w:rsidRDefault="00CE1B40" w:rsidP="00CE1B40">
      <w:pPr>
        <w:adjustRightInd w:val="0"/>
        <w:snapToGrid w:val="0"/>
        <w:spacing w:after="0" w:line="240" w:lineRule="auto"/>
        <w:jc w:val="center"/>
        <w:rPr>
          <w:rFonts w:ascii="Arial" w:hAnsi="Arial" w:cs="Arial"/>
          <w:b/>
          <w:color w:val="000000" w:themeColor="text1"/>
          <w:sz w:val="20"/>
          <w:szCs w:val="20"/>
        </w:rPr>
      </w:pPr>
    </w:p>
    <w:p w14:paraId="557E35AB" w14:textId="4165941A" w:rsidR="00F543AB" w:rsidRPr="00E75B72" w:rsidRDefault="00000000" w:rsidP="00CE1B40">
      <w:pPr>
        <w:adjustRightInd w:val="0"/>
        <w:snapToGrid w:val="0"/>
        <w:spacing w:after="0" w:line="240" w:lineRule="auto"/>
        <w:jc w:val="center"/>
        <w:rPr>
          <w:rFonts w:ascii="Arial" w:hAnsi="Arial" w:cs="Arial"/>
          <w:b/>
          <w:color w:val="000000" w:themeColor="text1"/>
          <w:sz w:val="20"/>
          <w:szCs w:val="20"/>
        </w:rPr>
      </w:pPr>
      <w:r w:rsidRPr="00E75B72">
        <w:rPr>
          <w:rFonts w:ascii="Arial" w:hAnsi="Arial" w:cs="Arial"/>
          <w:b/>
          <w:color w:val="000000" w:themeColor="text1"/>
          <w:sz w:val="20"/>
          <w:szCs w:val="20"/>
        </w:rPr>
        <w:t>LUẬT</w:t>
      </w:r>
      <w:r w:rsidR="00CE1B40" w:rsidRPr="00E75B72">
        <w:rPr>
          <w:rFonts w:ascii="Arial" w:hAnsi="Arial" w:cs="Arial"/>
          <w:b/>
          <w:color w:val="000000" w:themeColor="text1"/>
          <w:sz w:val="20"/>
          <w:szCs w:val="20"/>
        </w:rPr>
        <w:br/>
      </w:r>
      <w:r w:rsidRPr="00E75B72">
        <w:rPr>
          <w:rFonts w:ascii="Arial" w:hAnsi="Arial" w:cs="Arial"/>
          <w:b/>
          <w:color w:val="000000" w:themeColor="text1"/>
          <w:sz w:val="20"/>
          <w:szCs w:val="20"/>
        </w:rPr>
        <w:t xml:space="preserve">SỬA ĐỔI, BỔ SUNG MỘT SỐ ĐIỀU CỦA </w:t>
      </w:r>
      <w:r w:rsidR="00CE1B40" w:rsidRPr="00E75B72">
        <w:rPr>
          <w:rFonts w:ascii="Arial" w:hAnsi="Arial" w:cs="Arial"/>
          <w:b/>
          <w:color w:val="000000" w:themeColor="text1"/>
          <w:sz w:val="20"/>
          <w:szCs w:val="20"/>
        </w:rPr>
        <w:br/>
      </w:r>
      <w:r w:rsidRPr="00E75B72">
        <w:rPr>
          <w:rFonts w:ascii="Arial" w:hAnsi="Arial" w:cs="Arial"/>
          <w:b/>
          <w:color w:val="000000" w:themeColor="text1"/>
          <w:sz w:val="20"/>
          <w:szCs w:val="20"/>
        </w:rPr>
        <w:t>LUẬT THUẾ THU NHẬP CÁ NHÂN, LUẬT THUẾ GIÁ TRỊ</w:t>
      </w:r>
      <w:r w:rsidRPr="00E75B72">
        <w:rPr>
          <w:rFonts w:ascii="Arial" w:hAnsi="Arial" w:cs="Arial"/>
          <w:color w:val="000000" w:themeColor="text1"/>
          <w:sz w:val="20"/>
          <w:szCs w:val="20"/>
        </w:rPr>
        <w:br/>
      </w:r>
      <w:r w:rsidRPr="00E75B72">
        <w:rPr>
          <w:rFonts w:ascii="Arial" w:hAnsi="Arial" w:cs="Arial"/>
          <w:b/>
          <w:color w:val="000000" w:themeColor="text1"/>
          <w:sz w:val="20"/>
          <w:szCs w:val="20"/>
        </w:rPr>
        <w:t xml:space="preserve"> GIA TĂNG, LUẬT THUẾ THU NHẬP DOANH NGHIỆP</w:t>
      </w:r>
      <w:r w:rsidRPr="00E75B72">
        <w:rPr>
          <w:rFonts w:ascii="Arial" w:hAnsi="Arial" w:cs="Arial"/>
          <w:color w:val="000000" w:themeColor="text1"/>
          <w:sz w:val="20"/>
          <w:szCs w:val="20"/>
        </w:rPr>
        <w:br/>
      </w:r>
      <w:r w:rsidRPr="00E75B72">
        <w:rPr>
          <w:rFonts w:ascii="Arial" w:hAnsi="Arial" w:cs="Arial"/>
          <w:b/>
          <w:color w:val="000000" w:themeColor="text1"/>
          <w:sz w:val="20"/>
          <w:szCs w:val="20"/>
        </w:rPr>
        <w:t xml:space="preserve"> VÀ LUẬT THUẾ TIÊU THỤ ĐẶC BIỆT</w:t>
      </w:r>
    </w:p>
    <w:p w14:paraId="5955173C" w14:textId="77777777" w:rsidR="00CE1B40" w:rsidRPr="00E75B72" w:rsidRDefault="00CE1B40" w:rsidP="00CE1B40">
      <w:pPr>
        <w:adjustRightInd w:val="0"/>
        <w:snapToGrid w:val="0"/>
        <w:spacing w:after="0" w:line="240" w:lineRule="auto"/>
        <w:jc w:val="center"/>
        <w:rPr>
          <w:rFonts w:ascii="Arial" w:hAnsi="Arial" w:cs="Arial"/>
          <w:color w:val="000000" w:themeColor="text1"/>
          <w:sz w:val="20"/>
          <w:szCs w:val="20"/>
        </w:rPr>
      </w:pPr>
    </w:p>
    <w:p w14:paraId="65DDC8E5"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i/>
          <w:color w:val="000000" w:themeColor="text1"/>
          <w:sz w:val="20"/>
          <w:szCs w:val="20"/>
        </w:rPr>
        <w:t>Căn cứ Hiến pháp nước Cộng hòa xã hội chủ nghĩa Việt Nam đã được sửa đổi, bổ sung một số điều theo Nghị quyết số 203/2025/QH15;</w:t>
      </w:r>
    </w:p>
    <w:p w14:paraId="0870E8FD" w14:textId="741AC2C3" w:rsidR="00F543AB" w:rsidRPr="00E75B72" w:rsidRDefault="00000000" w:rsidP="00CE1B40">
      <w:pPr>
        <w:adjustRightInd w:val="0"/>
        <w:snapToGrid w:val="0"/>
        <w:spacing w:after="0" w:line="240" w:lineRule="auto"/>
        <w:ind w:firstLine="720"/>
        <w:jc w:val="both"/>
        <w:rPr>
          <w:rFonts w:ascii="Arial" w:hAnsi="Arial" w:cs="Arial"/>
          <w:i/>
          <w:color w:val="000000" w:themeColor="text1"/>
          <w:sz w:val="20"/>
          <w:szCs w:val="20"/>
        </w:rPr>
      </w:pPr>
      <w:r w:rsidRPr="00E75B72">
        <w:rPr>
          <w:rFonts w:ascii="Arial" w:hAnsi="Arial" w:cs="Arial"/>
          <w:i/>
          <w:color w:val="000000" w:themeColor="text1"/>
          <w:sz w:val="20"/>
          <w:szCs w:val="20"/>
        </w:rPr>
        <w:t xml:space="preserve">Quốc hội ban hành Luật sửa đổi, bổ sung 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 bổ sung một số điều theo Luật số </w:t>
      </w:r>
      <w:r w:rsidR="00CE1B40" w:rsidRPr="00E75B72">
        <w:rPr>
          <w:rFonts w:ascii="Arial" w:hAnsi="Arial" w:cs="Arial"/>
          <w:i/>
          <w:color w:val="000000" w:themeColor="text1"/>
          <w:sz w:val="20"/>
          <w:szCs w:val="20"/>
        </w:rPr>
        <w:t>1</w:t>
      </w:r>
      <w:r w:rsidRPr="00E75B72">
        <w:rPr>
          <w:rFonts w:ascii="Arial" w:hAnsi="Arial" w:cs="Arial"/>
          <w:i/>
          <w:color w:val="000000" w:themeColor="text1"/>
          <w:sz w:val="20"/>
          <w:szCs w:val="20"/>
        </w:rPr>
        <w:t xml:space="preserve">16/2025/QH15, Luật số </w:t>
      </w:r>
      <w:r w:rsidR="00CE1B40" w:rsidRPr="00E75B72">
        <w:rPr>
          <w:rFonts w:ascii="Arial" w:hAnsi="Arial" w:cs="Arial"/>
          <w:i/>
          <w:color w:val="000000" w:themeColor="text1"/>
          <w:sz w:val="20"/>
          <w:szCs w:val="20"/>
        </w:rPr>
        <w:t>1</w:t>
      </w:r>
      <w:r w:rsidRPr="00E75B72">
        <w:rPr>
          <w:rFonts w:ascii="Arial" w:hAnsi="Arial" w:cs="Arial"/>
          <w:i/>
          <w:color w:val="000000" w:themeColor="text1"/>
          <w:sz w:val="20"/>
          <w:szCs w:val="20"/>
        </w:rPr>
        <w:t xml:space="preserve">27/2025/QH15, Luật số </w:t>
      </w:r>
      <w:r w:rsidR="00CE1B40" w:rsidRPr="00E75B72">
        <w:rPr>
          <w:rFonts w:ascii="Arial" w:hAnsi="Arial" w:cs="Arial"/>
          <w:i/>
          <w:color w:val="000000" w:themeColor="text1"/>
          <w:sz w:val="20"/>
          <w:szCs w:val="20"/>
        </w:rPr>
        <w:t>1</w:t>
      </w:r>
      <w:r w:rsidRPr="00E75B72">
        <w:rPr>
          <w:rFonts w:ascii="Arial" w:hAnsi="Arial" w:cs="Arial"/>
          <w:i/>
          <w:color w:val="000000" w:themeColor="text1"/>
          <w:sz w:val="20"/>
          <w:szCs w:val="20"/>
        </w:rPr>
        <w:t>33/2025/QH15, Luật số 141/2025/QH15 và Luật số 143/2025/QH15; Luật Thuế tiêu thụ đặc biệt số 66/2025/QH15.</w:t>
      </w:r>
    </w:p>
    <w:p w14:paraId="2DE5D7AB" w14:textId="77777777" w:rsidR="00CE1B40" w:rsidRPr="00E75B72" w:rsidRDefault="00CE1B40" w:rsidP="00CE1B40">
      <w:pPr>
        <w:adjustRightInd w:val="0"/>
        <w:snapToGrid w:val="0"/>
        <w:spacing w:after="0" w:line="240" w:lineRule="auto"/>
        <w:ind w:firstLine="720"/>
        <w:jc w:val="both"/>
        <w:rPr>
          <w:rFonts w:ascii="Arial" w:hAnsi="Arial" w:cs="Arial"/>
          <w:color w:val="000000" w:themeColor="text1"/>
          <w:sz w:val="20"/>
          <w:szCs w:val="20"/>
        </w:rPr>
      </w:pPr>
    </w:p>
    <w:p w14:paraId="6EA6E5AF"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1. Sửa đổi, bổ sung khoản 1 Điều 7 của Luật Thuế thu nhập cá nhân</w:t>
      </w:r>
    </w:p>
    <w:p w14:paraId="13C6581F" w14:textId="0AB730D1"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“1. Cá nhân cư trú có hoạt động sản xuất, kinh doanh có doanh thu năm từ mức quy định của Chính phủ trở xuống không phải nộp thuế thu nhập cá nhân. Căn cứ các chỉ số kinh tế vĩ mô, khả năng cân đối ngân sách, Chính phủ quy định mức doanh thu năm phù hợp với bối cảnh kinh tế - xã hội trong từng thời kỳ</w:t>
      </w:r>
      <w:r w:rsidR="00E75B72" w:rsidRPr="00E75B72">
        <w:rPr>
          <w:rFonts w:ascii="Arial" w:hAnsi="Arial" w:cs="Arial"/>
          <w:color w:val="000000" w:themeColor="text1"/>
          <w:sz w:val="20"/>
          <w:szCs w:val="20"/>
        </w:rPr>
        <w:t>.</w:t>
      </w:r>
      <w:r w:rsidRPr="00E75B72">
        <w:rPr>
          <w:rFonts w:ascii="Arial" w:hAnsi="Arial" w:cs="Arial"/>
          <w:color w:val="000000" w:themeColor="text1"/>
          <w:sz w:val="20"/>
          <w:szCs w:val="20"/>
        </w:rPr>
        <w:t>”.</w:t>
      </w:r>
    </w:p>
    <w:p w14:paraId="3B2F6651"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2. Sửa đổi, bổ sung khoản 25 Điều 5 của Luật Thuế giá trị gia tăng</w:t>
      </w:r>
    </w:p>
    <w:p w14:paraId="24750F17"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“25. Hàng hóa, dịch vụ của hộ, cá nhân sản xuất, kinh doanh có doanh thu năm từ mức quy định của Chính phủ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 Căn cứ các chỉ số kinh tế vĩ mô, khả năng cân đối ngân sách; Chính phủ quy định mức doanh thu năm tại khoản này phù hợp với bối cảnh kinh tế - xã hội trong từng thời kỳ.”.</w:t>
      </w:r>
    </w:p>
    <w:p w14:paraId="39D09AC8"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3. Bổ sung khoản 14a vào sau khoản 14 Điều 4 của Luật Thuế thu nhập doanh nghiệp</w:t>
      </w:r>
    </w:p>
    <w:p w14:paraId="12CEB1B1"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“14a. Thu nhập của doanh nghiệp, tổ chức được thành lập theo quy định của pháp luật Việt Nam có tổng doanh thu năm từ mức quy định của Chính phủ trở xuống được miễn thuế thu nhập doanh nghiệp. Căn cứ các chỉ số kinh tế vĩ mô, khả năng cân đối ngân sách, Chính phủ quy định mức tổng doanh thu năm phù hợp với bối cảnh kinh tế - xã hội trong từng thời kỳ.”.</w:t>
      </w:r>
    </w:p>
    <w:p w14:paraId="37F5C508" w14:textId="4DDA0F7D"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4. Sửa đổi, bổ sung quy định về xe có gắn động cơ dưới 24 chỗ chạy bằng pin tại điểm g mục 4 phần I của Biểu thuế tiêu thụ đặc biệt quy định tại khoản 1 Điều 8 của Luật Thuế tiêu thụ đặc biệt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6499"/>
        <w:gridCol w:w="1942"/>
      </w:tblGrid>
      <w:tr w:rsidR="00E75B72" w:rsidRPr="00E75B72" w14:paraId="1E4E01E2" w14:textId="77777777" w:rsidTr="00CE1B40">
        <w:trPr>
          <w:trHeight w:val="20"/>
        </w:trPr>
        <w:tc>
          <w:tcPr>
            <w:tcW w:w="319" w:type="pct"/>
            <w:vAlign w:val="center"/>
          </w:tcPr>
          <w:p w14:paraId="6A94A72F" w14:textId="77777777" w:rsidR="00F543AB" w:rsidRPr="00E75B72" w:rsidRDefault="00000000" w:rsidP="00CE1B40">
            <w:pPr>
              <w:adjustRightInd w:val="0"/>
              <w:snapToGrid w:val="0"/>
              <w:spacing w:before="80" w:after="8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STT</w:t>
            </w:r>
          </w:p>
        </w:tc>
        <w:tc>
          <w:tcPr>
            <w:tcW w:w="3604" w:type="pct"/>
            <w:vAlign w:val="center"/>
          </w:tcPr>
          <w:p w14:paraId="63DEA9C3" w14:textId="77777777" w:rsidR="00F543AB" w:rsidRPr="00E75B72" w:rsidRDefault="00000000" w:rsidP="00CE1B40">
            <w:pPr>
              <w:adjustRightInd w:val="0"/>
              <w:snapToGrid w:val="0"/>
              <w:spacing w:before="80" w:after="8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Hàng hóa, dịch vụ</w:t>
            </w:r>
          </w:p>
        </w:tc>
        <w:tc>
          <w:tcPr>
            <w:tcW w:w="1077" w:type="pct"/>
            <w:vAlign w:val="center"/>
          </w:tcPr>
          <w:p w14:paraId="7023890F" w14:textId="06CEB63D" w:rsidR="00F543AB" w:rsidRPr="00E75B72" w:rsidRDefault="00000000" w:rsidP="00CE1B40">
            <w:pPr>
              <w:adjustRightInd w:val="0"/>
              <w:snapToGrid w:val="0"/>
              <w:spacing w:before="80" w:after="8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Thuế suất (%)</w:t>
            </w:r>
          </w:p>
        </w:tc>
      </w:tr>
      <w:tr w:rsidR="00E75B72" w:rsidRPr="00E75B72" w14:paraId="639ECBCA" w14:textId="77777777" w:rsidTr="00CE1B40">
        <w:trPr>
          <w:trHeight w:val="20"/>
        </w:trPr>
        <w:tc>
          <w:tcPr>
            <w:tcW w:w="319" w:type="pct"/>
            <w:vAlign w:val="center"/>
          </w:tcPr>
          <w:p w14:paraId="31AAF147" w14:textId="77777777" w:rsidR="00F543AB" w:rsidRPr="00E75B72" w:rsidRDefault="00000000" w:rsidP="00CE1B40">
            <w:pPr>
              <w:adjustRightInd w:val="0"/>
              <w:snapToGrid w:val="0"/>
              <w:spacing w:before="80" w:after="80" w:line="240" w:lineRule="auto"/>
              <w:jc w:val="center"/>
              <w:rPr>
                <w:rFonts w:ascii="Arial" w:hAnsi="Arial" w:cs="Arial"/>
                <w:color w:val="000000" w:themeColor="text1"/>
                <w:sz w:val="20"/>
                <w:szCs w:val="20"/>
              </w:rPr>
            </w:pPr>
            <w:r w:rsidRPr="00E75B72">
              <w:rPr>
                <w:rFonts w:ascii="Arial" w:hAnsi="Arial" w:cs="Arial"/>
                <w:color w:val="000000" w:themeColor="text1"/>
                <w:sz w:val="20"/>
                <w:szCs w:val="20"/>
              </w:rPr>
              <w:t>4</w:t>
            </w:r>
          </w:p>
        </w:tc>
        <w:tc>
          <w:tcPr>
            <w:tcW w:w="3604" w:type="pct"/>
            <w:vAlign w:val="center"/>
          </w:tcPr>
          <w:p w14:paraId="05F6F0C9"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g) Xe có gắn động cơ dưới 24 chỗ chạy điện</w:t>
            </w:r>
          </w:p>
        </w:tc>
        <w:tc>
          <w:tcPr>
            <w:tcW w:w="1077" w:type="pct"/>
            <w:vAlign w:val="center"/>
          </w:tcPr>
          <w:p w14:paraId="6D800723" w14:textId="77777777" w:rsidR="00F543AB" w:rsidRPr="00E75B72" w:rsidRDefault="00F543AB" w:rsidP="00CE1B40">
            <w:pPr>
              <w:adjustRightInd w:val="0"/>
              <w:snapToGrid w:val="0"/>
              <w:spacing w:before="80" w:after="80" w:line="240" w:lineRule="auto"/>
              <w:rPr>
                <w:rFonts w:ascii="Arial" w:hAnsi="Arial" w:cs="Arial"/>
                <w:color w:val="000000" w:themeColor="text1"/>
                <w:sz w:val="20"/>
                <w:szCs w:val="20"/>
              </w:rPr>
            </w:pPr>
          </w:p>
        </w:tc>
      </w:tr>
      <w:tr w:rsidR="00E75B72" w:rsidRPr="00E75B72" w14:paraId="38C9BCC7" w14:textId="77777777" w:rsidTr="00CE1B40">
        <w:trPr>
          <w:trHeight w:val="20"/>
        </w:trPr>
        <w:tc>
          <w:tcPr>
            <w:tcW w:w="319" w:type="pct"/>
            <w:vAlign w:val="center"/>
          </w:tcPr>
          <w:p w14:paraId="5DFCEACF"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4AC8ECA7"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có gắn động cơ dưới 24 chỗ chạy bằng pin</w:t>
            </w:r>
          </w:p>
        </w:tc>
        <w:tc>
          <w:tcPr>
            <w:tcW w:w="1077" w:type="pct"/>
            <w:vAlign w:val="center"/>
          </w:tcPr>
          <w:p w14:paraId="192B9A43" w14:textId="77777777" w:rsidR="00F543AB" w:rsidRPr="00E75B72" w:rsidRDefault="00F543AB" w:rsidP="00CE1B40">
            <w:pPr>
              <w:adjustRightInd w:val="0"/>
              <w:snapToGrid w:val="0"/>
              <w:spacing w:before="80" w:after="80" w:line="240" w:lineRule="auto"/>
              <w:rPr>
                <w:rFonts w:ascii="Arial" w:hAnsi="Arial" w:cs="Arial"/>
                <w:color w:val="000000" w:themeColor="text1"/>
                <w:sz w:val="20"/>
                <w:szCs w:val="20"/>
              </w:rPr>
            </w:pPr>
          </w:p>
        </w:tc>
      </w:tr>
      <w:tr w:rsidR="00E75B72" w:rsidRPr="00E75B72" w14:paraId="0B5A6C50" w14:textId="77777777" w:rsidTr="00CE1B40">
        <w:trPr>
          <w:trHeight w:val="20"/>
        </w:trPr>
        <w:tc>
          <w:tcPr>
            <w:tcW w:w="319" w:type="pct"/>
            <w:vAlign w:val="center"/>
          </w:tcPr>
          <w:p w14:paraId="2E5C003A"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1A81740F"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ô tô chở người và xe chở người bốn bánh có gắn động cơ từ 9 chỗ trở xuống, xe ô tô pick-up chở người</w:t>
            </w:r>
          </w:p>
        </w:tc>
        <w:tc>
          <w:tcPr>
            <w:tcW w:w="1077" w:type="pct"/>
            <w:vAlign w:val="center"/>
          </w:tcPr>
          <w:p w14:paraId="734E25C2" w14:textId="12B8C305"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01/01/2026: 3</w:t>
            </w:r>
          </w:p>
          <w:p w14:paraId="180B7A2A" w14:textId="551E5DD9"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01/01/2031: 11</w:t>
            </w:r>
          </w:p>
        </w:tc>
      </w:tr>
      <w:tr w:rsidR="00E75B72" w:rsidRPr="00E75B72" w14:paraId="620AF09F" w14:textId="77777777" w:rsidTr="00CE1B40">
        <w:trPr>
          <w:trHeight w:val="20"/>
        </w:trPr>
        <w:tc>
          <w:tcPr>
            <w:tcW w:w="319" w:type="pct"/>
            <w:vAlign w:val="center"/>
          </w:tcPr>
          <w:p w14:paraId="26F9DE61"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5AD4F43F"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ô tô chở người và xe chở người bốn bánh có gắn động cơ từ 10 đến dưới 16 chỗ</w:t>
            </w:r>
          </w:p>
        </w:tc>
        <w:tc>
          <w:tcPr>
            <w:tcW w:w="1077" w:type="pct"/>
            <w:vAlign w:val="center"/>
          </w:tcPr>
          <w:p w14:paraId="36AAF9E4" w14:textId="09032F2B"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01/01/2026: 2</w:t>
            </w:r>
          </w:p>
          <w:p w14:paraId="584173F9" w14:textId="5A353639"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01/01/2031: 7</w:t>
            </w:r>
          </w:p>
        </w:tc>
      </w:tr>
      <w:tr w:rsidR="00E75B72" w:rsidRPr="00E75B72" w14:paraId="6CC0CE34" w14:textId="77777777" w:rsidTr="00CE1B40">
        <w:trPr>
          <w:trHeight w:val="20"/>
        </w:trPr>
        <w:tc>
          <w:tcPr>
            <w:tcW w:w="319" w:type="pct"/>
            <w:vAlign w:val="center"/>
          </w:tcPr>
          <w:p w14:paraId="58BDE372"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07CB6489"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ô tô chở người và xe chở người bốn bánh có gắn động cơ từ 16 đến dưới 24 chỗ</w:t>
            </w:r>
          </w:p>
        </w:tc>
        <w:tc>
          <w:tcPr>
            <w:tcW w:w="1077" w:type="pct"/>
            <w:vAlign w:val="center"/>
          </w:tcPr>
          <w:p w14:paraId="20DC8043" w14:textId="4F67E35E"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01/01/2026: 1</w:t>
            </w:r>
          </w:p>
          <w:p w14:paraId="46314F6C"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lastRenderedPageBreak/>
              <w:t>- Từ 01/01/2031: 4</w:t>
            </w:r>
          </w:p>
        </w:tc>
      </w:tr>
      <w:tr w:rsidR="00E75B72" w:rsidRPr="00E75B72" w14:paraId="2E8305B2" w14:textId="77777777" w:rsidTr="00CE1B40">
        <w:trPr>
          <w:trHeight w:val="20"/>
        </w:trPr>
        <w:tc>
          <w:tcPr>
            <w:tcW w:w="319" w:type="pct"/>
            <w:vAlign w:val="center"/>
          </w:tcPr>
          <w:p w14:paraId="3BB39747"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73BF5854"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ô tô pick-up chở hàng cabin kép, xe ô tô tải VAN có từ hai hàng ghế trở lên, có thiết kế vách ngăn cố định giữa khoang chở người và khoang chở hàng</w:t>
            </w:r>
          </w:p>
        </w:tc>
        <w:tc>
          <w:tcPr>
            <w:tcW w:w="1077" w:type="pct"/>
            <w:vAlign w:val="center"/>
          </w:tcPr>
          <w:p w14:paraId="0EAC910B" w14:textId="70FEEA41"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01/01/2026: 2</w:t>
            </w:r>
          </w:p>
          <w:p w14:paraId="0D4516A9" w14:textId="229006FC"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01/01/2031: 7</w:t>
            </w:r>
          </w:p>
        </w:tc>
      </w:tr>
    </w:tbl>
    <w:p w14:paraId="737E4F42"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5. Hiệu lực thi hành</w:t>
      </w:r>
    </w:p>
    <w:p w14:paraId="4FB38FC3"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1. Luật này có hiệu lực thi hành từ ngày được thông qua, trừ quy định tại khoản 2 Điều này.</w:t>
      </w:r>
    </w:p>
    <w:p w14:paraId="369EFE30" w14:textId="77777777" w:rsidR="00F543AB" w:rsidRPr="00E75B72" w:rsidRDefault="00000000" w:rsidP="00CE1B40">
      <w:pPr>
        <w:adjustRightInd w:val="0"/>
        <w:snapToGrid w:val="0"/>
        <w:spacing w:after="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2. Quy định tại các điều 1, 2 và 3 của Luật này có hiệu lực thi hành từ ngày 01 tháng 01 năm 2026.</w:t>
      </w:r>
    </w:p>
    <w:p w14:paraId="535EC6EE" w14:textId="35D2B84B" w:rsidR="00CE1B40" w:rsidRPr="00E75B72" w:rsidRDefault="00CE1B40" w:rsidP="00CE1B40">
      <w:pPr>
        <w:adjustRightInd w:val="0"/>
        <w:snapToGrid w:val="0"/>
        <w:spacing w:after="120" w:line="240" w:lineRule="auto"/>
        <w:jc w:val="both"/>
        <w:rPr>
          <w:rFonts w:ascii="Arial" w:hAnsi="Arial" w:cs="Arial"/>
          <w:color w:val="000000" w:themeColor="text1"/>
          <w:sz w:val="20"/>
          <w:szCs w:val="20"/>
        </w:rPr>
      </w:pPr>
      <w:r w:rsidRPr="00E75B72">
        <w:rPr>
          <w:rFonts w:ascii="Arial" w:hAnsi="Arial" w:cs="Arial"/>
          <w:color w:val="000000" w:themeColor="text1"/>
          <w:sz w:val="20"/>
          <w:szCs w:val="20"/>
        </w:rPr>
        <w:t>_________________________________________________________________________________</w:t>
      </w:r>
    </w:p>
    <w:p w14:paraId="0C8A42D2" w14:textId="77777777" w:rsidR="00F543AB" w:rsidRPr="00E75B72" w:rsidRDefault="00000000" w:rsidP="00CE1B40">
      <w:pPr>
        <w:adjustRightInd w:val="0"/>
        <w:snapToGrid w:val="0"/>
        <w:spacing w:after="0" w:line="240" w:lineRule="auto"/>
        <w:ind w:firstLine="720"/>
        <w:jc w:val="both"/>
        <w:rPr>
          <w:rFonts w:ascii="Arial" w:hAnsi="Arial" w:cs="Arial"/>
          <w:i/>
          <w:color w:val="000000" w:themeColor="text1"/>
          <w:sz w:val="20"/>
          <w:szCs w:val="20"/>
        </w:rPr>
      </w:pPr>
      <w:r w:rsidRPr="00E75B72">
        <w:rPr>
          <w:rFonts w:ascii="Arial" w:hAnsi="Arial" w:cs="Arial"/>
          <w:i/>
          <w:color w:val="000000" w:themeColor="text1"/>
          <w:sz w:val="20"/>
          <w:szCs w:val="20"/>
        </w:rPr>
        <w:t>Luật này được Quốc hội nước Cộng hòa xã hội chủ nghĩa Việt Nam khóa XVI, Kỳ họp thứ Nhất thông qua ngày 24 tháng 4 năm 2026.</w:t>
      </w:r>
    </w:p>
    <w:p w14:paraId="1F8E12CF" w14:textId="77777777" w:rsidR="00CE1B40" w:rsidRPr="00E75B72" w:rsidRDefault="00CE1B40" w:rsidP="00CE1B40">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0E538C" w:rsidRPr="00E75B72" w14:paraId="795CD2DA" w14:textId="77777777" w:rsidTr="00F82219">
        <w:tc>
          <w:tcPr>
            <w:tcW w:w="2500" w:type="pct"/>
          </w:tcPr>
          <w:p w14:paraId="2F321B6D" w14:textId="77777777" w:rsidR="00F543AB" w:rsidRPr="00E75B72" w:rsidRDefault="00F543AB" w:rsidP="00CE1B40">
            <w:pPr>
              <w:adjustRightInd w:val="0"/>
              <w:snapToGrid w:val="0"/>
              <w:spacing w:after="0" w:line="240" w:lineRule="auto"/>
              <w:jc w:val="center"/>
              <w:rPr>
                <w:rFonts w:ascii="Arial" w:hAnsi="Arial" w:cs="Arial"/>
                <w:color w:val="000000" w:themeColor="text1"/>
                <w:sz w:val="20"/>
                <w:szCs w:val="20"/>
              </w:rPr>
            </w:pPr>
          </w:p>
        </w:tc>
        <w:tc>
          <w:tcPr>
            <w:tcW w:w="2500" w:type="pct"/>
          </w:tcPr>
          <w:p w14:paraId="3052F3B9" w14:textId="1134213E" w:rsidR="00F543AB" w:rsidRPr="00E75B72" w:rsidRDefault="00000000" w:rsidP="00CE1B40">
            <w:pPr>
              <w:adjustRightInd w:val="0"/>
              <w:snapToGrid w:val="0"/>
              <w:spacing w:after="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CHỦ TỊCH QUỐC HỘI</w:t>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b/>
                <w:color w:val="000000" w:themeColor="text1"/>
                <w:sz w:val="20"/>
                <w:szCs w:val="20"/>
              </w:rPr>
              <w:t>Trần Thanh Mẫn</w:t>
            </w:r>
          </w:p>
        </w:tc>
      </w:tr>
    </w:tbl>
    <w:p w14:paraId="7911DC71" w14:textId="77777777" w:rsidR="00266487" w:rsidRPr="00E75B72" w:rsidRDefault="00266487" w:rsidP="00CE1B40">
      <w:pPr>
        <w:adjustRightInd w:val="0"/>
        <w:snapToGrid w:val="0"/>
        <w:spacing w:after="120" w:line="240" w:lineRule="auto"/>
        <w:ind w:firstLine="720"/>
        <w:jc w:val="both"/>
        <w:rPr>
          <w:rFonts w:ascii="Arial" w:hAnsi="Arial" w:cs="Arial"/>
          <w:color w:val="000000" w:themeColor="text1"/>
          <w:sz w:val="20"/>
          <w:szCs w:val="20"/>
        </w:rPr>
      </w:pPr>
    </w:p>
    <w:sectPr w:rsidR="00266487" w:rsidRPr="00E75B72" w:rsidSect="00CE1B40">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DC00E" w14:textId="77777777" w:rsidR="008B758D" w:rsidRDefault="008B758D">
      <w:pPr>
        <w:spacing w:after="0" w:line="240" w:lineRule="auto"/>
      </w:pPr>
      <w:r>
        <w:separator/>
      </w:r>
    </w:p>
  </w:endnote>
  <w:endnote w:type="continuationSeparator" w:id="0">
    <w:p w14:paraId="4D4A2944" w14:textId="77777777" w:rsidR="008B758D" w:rsidRDefault="008B7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B73A" w14:textId="65CDD1F9" w:rsidR="00B64718" w:rsidRDefault="00B64718">
    <w:pPr>
      <w:pStyle w:val="Footer"/>
    </w:pPr>
    <w:r>
      <w:rPr>
        <w:noProof/>
      </w:rPr>
      <w:drawing>
        <wp:inline distT="0" distB="0" distL="0" distR="0" wp14:anchorId="23FD1C05" wp14:editId="4028A822">
          <wp:extent cx="5723809" cy="580952"/>
          <wp:effectExtent l="0" t="0" r="0" b="0"/>
          <wp:docPr id="108632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23956"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350D8" w14:textId="77777777" w:rsidR="008B758D" w:rsidRDefault="008B758D">
      <w:pPr>
        <w:spacing w:after="0" w:line="240" w:lineRule="auto"/>
      </w:pPr>
      <w:r>
        <w:separator/>
      </w:r>
    </w:p>
  </w:footnote>
  <w:footnote w:type="continuationSeparator" w:id="0">
    <w:p w14:paraId="5B1465B1" w14:textId="77777777" w:rsidR="008B758D" w:rsidRDefault="008B75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3AB"/>
    <w:rsid w:val="000E538C"/>
    <w:rsid w:val="00162306"/>
    <w:rsid w:val="00266487"/>
    <w:rsid w:val="005D1F0E"/>
    <w:rsid w:val="008B758D"/>
    <w:rsid w:val="00B042F8"/>
    <w:rsid w:val="00B64718"/>
    <w:rsid w:val="00CE1B40"/>
    <w:rsid w:val="00D23E48"/>
    <w:rsid w:val="00E75B72"/>
    <w:rsid w:val="00F543AB"/>
    <w:rsid w:val="00F75F22"/>
    <w:rsid w:val="00F82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727B"/>
  <w15:docId w15:val="{CC5247DC-4711-4B52-96AE-BD04348C4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1B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B40"/>
  </w:style>
  <w:style w:type="paragraph" w:styleId="Footer">
    <w:name w:val="footer"/>
    <w:basedOn w:val="Normal"/>
    <w:link w:val="FooterChar"/>
    <w:uiPriority w:val="99"/>
    <w:unhideWhenUsed/>
    <w:rsid w:val="00CE1B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4</cp:revision>
  <cp:lastPrinted>2026-05-15T14:56:00Z</cp:lastPrinted>
  <dcterms:created xsi:type="dcterms:W3CDTF">2026-05-15T14:59:00Z</dcterms:created>
  <dcterms:modified xsi:type="dcterms:W3CDTF">2026-05-15T15:05:00Z</dcterms:modified>
</cp:coreProperties>
</file>