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4D714690" w14:textId="77777777" w:rsidTr="00DC1713">
        <w:tc>
          <w:tcPr>
            <w:tcW w:w="2108" w:type="pct"/>
            <w:hideMark/>
          </w:tcPr>
          <w:p w14:paraId="12C635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8EDE0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42a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-DN</w:t>
            </w:r>
          </w:p>
          <w:p w14:paraId="38D9EC1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1B41FC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0DACE958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D807F1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THEO DÕI PHÂN BỔ CÁC KHOẢN CHÊNH LỆCH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PHÁT SINH KHI MUA KHOẢN ĐẦU TƯ VÀO CÔNG TY LIÊN DOANH</w:t>
      </w:r>
    </w:p>
    <w:p w14:paraId="0597FF4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6231"/>
        <w:gridCol w:w="1368"/>
        <w:gridCol w:w="2341"/>
        <w:gridCol w:w="831"/>
        <w:gridCol w:w="921"/>
        <w:gridCol w:w="868"/>
        <w:gridCol w:w="661"/>
      </w:tblGrid>
      <w:tr w:rsidR="00E34534" w:rsidRPr="00E34534" w14:paraId="757D01D3" w14:textId="77777777" w:rsidTr="00DC1713">
        <w:trPr>
          <w:trHeight w:val="20"/>
          <w:jc w:val="center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2824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STT</w:t>
            </w:r>
          </w:p>
        </w:tc>
        <w:tc>
          <w:tcPr>
            <w:tcW w:w="2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FBCC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Nội dung phân b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ổ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E068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ổ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 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chênh lệch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1B533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Thời gian khấu hao (phân bổ)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5528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Năm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EF1D5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Năm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468F6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Năm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F7CC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</w:t>
            </w:r>
          </w:p>
        </w:tc>
      </w:tr>
      <w:tr w:rsidR="00E34534" w:rsidRPr="00E34534" w14:paraId="6FD7ADB3" w14:textId="77777777" w:rsidTr="00DC1713">
        <w:trPr>
          <w:trHeight w:val="20"/>
          <w:jc w:val="center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BBED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866B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DCC8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F6410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975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88907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1AB5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A8C69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</w:tr>
      <w:tr w:rsidR="00E34534" w:rsidRPr="00E34534" w14:paraId="7789289B" w14:textId="77777777" w:rsidTr="00DC1713">
        <w:trPr>
          <w:trHeight w:val="20"/>
          <w:jc w:val="center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2FAF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2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62200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Công ty liên doanh A</w:t>
            </w:r>
          </w:p>
          <w:p w14:paraId="4F72C1B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Chênh lệch giữa giá trị hợp lý và giá trị ghi sổ của TSCĐ</w:t>
            </w:r>
          </w:p>
          <w:p w14:paraId="007DA2C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Lợi thế thương mại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D9AD3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D6EE6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8589B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00FB3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B2164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D0BC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14E0877C" w14:textId="77777777" w:rsidTr="00DC1713">
        <w:trPr>
          <w:trHeight w:val="20"/>
          <w:jc w:val="center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E7AA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7D770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phân bổ hàng năm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4C620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5A2EA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BD148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C9B16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A66F0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FEB13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FB16256" w14:textId="77777777" w:rsidTr="00DC1713">
        <w:trPr>
          <w:trHeight w:val="20"/>
          <w:jc w:val="center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BA5B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2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67DEB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Công ty liên doanh B</w:t>
            </w:r>
          </w:p>
          <w:p w14:paraId="37D8CCB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Chênh lệch giữa giá trị hợp lý và giá trị ghi sổ của TSCĐ</w:t>
            </w:r>
          </w:p>
          <w:p w14:paraId="1332F44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Lợi thế thương mại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D2398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F60C4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41823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2C647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1650A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216F2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4BDF8DFB" w14:textId="77777777" w:rsidTr="00DC1713">
        <w:trPr>
          <w:trHeight w:val="20"/>
          <w:jc w:val="center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1668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A6F4E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phân bổ hàng năm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0D9C4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32462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B9727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6969F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140D9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5B1FC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B14F207" w14:textId="77777777" w:rsidTr="00DC1713">
        <w:trPr>
          <w:trHeight w:val="20"/>
          <w:jc w:val="center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56AAD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2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E550C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Công ty liên doanh C</w:t>
            </w:r>
          </w:p>
          <w:p w14:paraId="7D58A52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Chênh lệch giữa giá trị hợp lý và giá trị ghi sổ của TSCĐ</w:t>
            </w:r>
          </w:p>
          <w:p w14:paraId="4CC3BDB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Lợi th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ế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thương mại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52613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6829E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1BB81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712C6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C16F8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FFDB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9277BD" w14:paraId="3F478292" w14:textId="77777777" w:rsidTr="00DC1713">
        <w:trPr>
          <w:trHeight w:val="20"/>
          <w:jc w:val="center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95D84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95E3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 số phân bổ hàng năm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4CF25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F9C2C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B3327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A348E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30D20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F6708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3568F63A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số 01 đến trang ...</w:t>
      </w:r>
    </w:p>
    <w:p w14:paraId="16BAEB16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1BD9609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5F9FD2BC" w14:textId="77777777" w:rsidTr="00DC1713">
        <w:tc>
          <w:tcPr>
            <w:tcW w:w="1667" w:type="pct"/>
          </w:tcPr>
          <w:p w14:paraId="7D5A6FA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1179E60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0C7A99B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566724D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4DFE455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2EB8167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6743B67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2BBBD32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11645B27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209AD6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