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BÀI TẬP RÀ SOÁT ACCEPTANCE CRITERIA (AC)</w:t>
        <w:br/>
        <w:t>RIKKEIGO</w:t>
      </w:r>
    </w:p>
    <w:p>
      <w:r>
        <w:t>Vai trò: Vy – Developer phụ trách kiểm thử</w:t>
        <w:br/>
        <w:t>User Story: “Là một Khách hàng, tôi muốn áp mã khuyến mãi khi đặt xe, để trả ít tiền hơn.”</w:t>
      </w:r>
    </w:p>
    <w:p>
      <w:pPr>
        <w:pStyle w:val="Heading1"/>
      </w:pPr>
      <w:r>
        <w:t>PHẦN 1 – PHÂN TÍCH</w:t>
      </w:r>
    </w:p>
    <w:p>
      <w:r>
        <w:t>Đánh giá dựa trên các quy tắc: Given mô tả trạng thái/điều kiện ban đầu; When chỉ có một hành động của người dùng; Then nêu kết quả cụ thể và kiểm thử được.</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792"/>
            <w:vAlign w:val="center"/>
          </w:tcPr>
          <w:p>
            <w:r>
              <w:rPr>
                <w:b/>
              </w:rPr>
              <w:t>AC</w:t>
            </w:r>
          </w:p>
        </w:tc>
        <w:tc>
          <w:tcPr>
            <w:tcW w:type="dxa" w:w="1152"/>
            <w:vAlign w:val="center"/>
          </w:tcPr>
          <w:p>
            <w:r>
              <w:rPr>
                <w:b/>
              </w:rPr>
              <w:t>Đúng/Sai</w:t>
            </w:r>
          </w:p>
        </w:tc>
        <w:tc>
          <w:tcPr>
            <w:tcW w:type="dxa" w:w="3816"/>
            <w:vAlign w:val="center"/>
          </w:tcPr>
          <w:p>
            <w:r>
              <w:rPr>
                <w:b/>
              </w:rPr>
              <w:t>Quy tắc bị vi phạm</w:t>
            </w:r>
          </w:p>
        </w:tc>
        <w:tc>
          <w:tcPr>
            <w:tcW w:type="dxa" w:w="3816"/>
            <w:vAlign w:val="center"/>
          </w:tcPr>
          <w:p>
            <w:r>
              <w:rPr>
                <w:b/>
              </w:rPr>
              <w:t>Hậu quả khi kiểm thử</w:t>
            </w:r>
          </w:p>
        </w:tc>
      </w:tr>
      <w:tr>
        <w:tc>
          <w:tcPr>
            <w:tcW w:type="dxa" w:w="792"/>
            <w:vAlign w:val="top"/>
          </w:tcPr>
          <w:p>
            <w:r>
              <w:t>AC1</w:t>
            </w:r>
          </w:p>
        </w:tc>
        <w:tc>
          <w:tcPr>
            <w:tcW w:type="dxa" w:w="1152"/>
            <w:vAlign w:val="top"/>
          </w:tcPr>
          <w:p>
            <w:r>
              <w:t>Đúng</w:t>
            </w:r>
          </w:p>
        </w:tc>
        <w:tc>
          <w:tcPr>
            <w:tcW w:type="dxa" w:w="3816"/>
            <w:vAlign w:val="top"/>
          </w:tcPr>
          <w:p>
            <w:r>
              <w:t>Không vi phạm. Given nêu cước ban đầu và trạng thái chưa áp mã; When có một hành động áp mã; Then nêu rõ cước sau giảm.</w:t>
            </w:r>
          </w:p>
        </w:tc>
        <w:tc>
          <w:tcPr>
            <w:tcW w:type="dxa" w:w="3816"/>
            <w:vAlign w:val="top"/>
          </w:tcPr>
          <w:p>
            <w:r>
              <w:t>Có thể kiểm thử trực tiếp: cước 100.000đ giảm 20% phải hiển thị 80.000đ.</w:t>
            </w:r>
          </w:p>
        </w:tc>
      </w:tr>
      <w:tr>
        <w:tc>
          <w:tcPr>
            <w:tcW w:type="dxa" w:w="792"/>
            <w:vAlign w:val="top"/>
          </w:tcPr>
          <w:p>
            <w:r>
              <w:t>AC2</w:t>
            </w:r>
          </w:p>
        </w:tc>
        <w:tc>
          <w:tcPr>
            <w:tcW w:type="dxa" w:w="1152"/>
            <w:vAlign w:val="top"/>
          </w:tcPr>
          <w:p>
            <w:r>
              <w:t>Sai</w:t>
            </w:r>
          </w:p>
        </w:tc>
        <w:tc>
          <w:tcPr>
            <w:tcW w:type="dxa" w:w="3816"/>
            <w:vAlign w:val="top"/>
          </w:tcPr>
          <w:p>
            <w:r>
              <w:t>When chứa hai hành động (“áp mã” và “bấm Đặt xe”), trái quy tắc mỗi AC chỉ có một hành động. Then “xử lý phù hợp” không nêu kết quả cụ thể, đo được.</w:t>
            </w:r>
          </w:p>
        </w:tc>
        <w:tc>
          <w:tcPr>
            <w:tcW w:type="dxa" w:w="3816"/>
            <w:vAlign w:val="top"/>
          </w:tcPr>
          <w:p>
            <w:r>
              <w:t>Không xác định được cần kiểm tra thông báo nào, trạng thái đặt xe ra sao hoặc cước có được áp giảm hay không; người kiểm thử phải tự đoán.</w:t>
            </w:r>
          </w:p>
        </w:tc>
      </w:tr>
      <w:tr>
        <w:tc>
          <w:tcPr>
            <w:tcW w:type="dxa" w:w="792"/>
            <w:vAlign w:val="top"/>
          </w:tcPr>
          <w:p>
            <w:r>
              <w:t>AC3</w:t>
            </w:r>
          </w:p>
        </w:tc>
        <w:tc>
          <w:tcPr>
            <w:tcW w:type="dxa" w:w="1152"/>
            <w:vAlign w:val="top"/>
          </w:tcPr>
          <w:p>
            <w:r>
              <w:t>Sai</w:t>
            </w:r>
          </w:p>
        </w:tc>
        <w:tc>
          <w:tcPr>
            <w:tcW w:type="dxa" w:w="3816"/>
            <w:vAlign w:val="top"/>
          </w:tcPr>
          <w:p>
            <w:r>
              <w:t>Đặt sai vai trò Given/When: “khách bấm Áp dụng” là hành động nên phải nằm ở When; “mã ABC123 không tồn tại” là điều kiện nên phải nằm ở Given.</w:t>
            </w:r>
          </w:p>
        </w:tc>
        <w:tc>
          <w:tcPr>
            <w:tcW w:type="dxa" w:w="3816"/>
            <w:vAlign w:val="top"/>
          </w:tcPr>
          <w:p>
            <w:r>
              <w:t>Kịch bản bị diễn đạt sai trình tự, khiến test case không xác định rõ điều kiện ban đầu và hành động kích hoạt.</w:t>
            </w:r>
          </w:p>
        </w:tc>
      </w:tr>
      <w:tr>
        <w:tc>
          <w:tcPr>
            <w:tcW w:type="dxa" w:w="792"/>
            <w:vAlign w:val="top"/>
          </w:tcPr>
          <w:p>
            <w:r>
              <w:t>AC4</w:t>
            </w:r>
          </w:p>
        </w:tc>
        <w:tc>
          <w:tcPr>
            <w:tcW w:type="dxa" w:w="1152"/>
            <w:vAlign w:val="top"/>
          </w:tcPr>
          <w:p>
            <w:r>
              <w:t>Đúng</w:t>
            </w:r>
          </w:p>
        </w:tc>
        <w:tc>
          <w:tcPr>
            <w:tcW w:type="dxa" w:w="3816"/>
            <w:vAlign w:val="top"/>
          </w:tcPr>
          <w:p>
            <w:r>
              <w:t>Không vi phạm. When chỉ có một hành động là áp thêm mã; Then có thể nêu nhiều kết quả cụ thể, và việc nối các kết quả bằng “và” là hợp lệ.</w:t>
            </w:r>
          </w:p>
        </w:tc>
        <w:tc>
          <w:tcPr>
            <w:tcW w:type="dxa" w:w="3816"/>
            <w:vAlign w:val="top"/>
          </w:tcPr>
          <w:p>
            <w:r>
              <w:t>Kiểm thử được cả thông báo từ chối mã thứ hai và việc cước vẫn giữ nguyên 80.000đ.</w:t>
            </w:r>
          </w:p>
        </w:tc>
      </w:tr>
    </w:tbl>
    <w:p/>
    <w:p>
      <w:pPr>
        <w:pStyle w:val="Heading1"/>
      </w:pPr>
      <w:r>
        <w:t>PHẦN 2 – SỬA LỖI</w:t>
      </w:r>
    </w:p>
    <w:p>
      <w:r>
        <w:t>Chỉ viết lại các AC sai (AC2 và AC3). AC1 và AC4 được giữ nguyên.</w:t>
      </w:r>
    </w:p>
    <w:p>
      <w:pPr>
        <w:pStyle w:val="Heading2"/>
      </w:pPr>
      <w:r>
        <w:t>AC2 – Đã hết hạn</w:t>
      </w:r>
    </w:p>
    <w:p>
      <w:r>
        <w:t>Given mã khuyến mãi “GO20” đã hết hạn và cước chuyến hiện tại là 100.000đ.</w:t>
        <w:br/>
        <w:t>When khách áp dụng mã “GO20”.</w:t>
        <w:br/>
        <w:t>Then hệ thống hiển thị thông báo “Mã khuyến mãi đã hết hạn” và cước chuyến vẫn là 100.000đ.</w:t>
      </w:r>
    </w:p>
    <w:p>
      <w:pPr>
        <w:pStyle w:val="Heading2"/>
      </w:pPr>
      <w:r>
        <w:t>AC3 – Mã không tồn tại</w:t>
      </w:r>
    </w:p>
    <w:p>
      <w:r>
        <w:t>Given khách đang ở màn hình áp mã khuyến mãi và mã “ABC123” không tồn tại.</w:t>
        <w:br/>
        <w:t>When khách bấm “Áp dụng”.</w:t>
        <w:br/>
        <w:t>Then hệ thống hiển thị thông báo “Mã khuyến mãi không hợp lệ”.</w:t>
      </w:r>
    </w:p>
    <w:p>
      <w:pPr>
        <w:pStyle w:val="Heading1"/>
      </w:pPr>
      <w:r>
        <w:t>Lưu ý</w:t>
      </w:r>
    </w:p>
    <w:p>
      <w:r>
        <w:t>AC2 được tách thành một hành động duy nhất là áp dụng mã. Kết quả được viết rõ thành thông báo và cước sau thao tác, để người kiểm thử có thể đối chiếu mà không phải suy đoán. AC3 đưa điều kiện mã không tồn tại vào Given và hành động bấm “Áp dụng” vào When.</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