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aihymbyy0j4" w:id="0"/>
    <w:bookmarkEnd w:id="0"/>
    <w:p w:rsidR="00000000" w:rsidDel="00000000" w:rsidP="00000000" w:rsidRDefault="00000000" w:rsidRPr="00000000" w14:paraId="00000001">
      <w:pPr>
        <w:pStyle w:val="Heading1"/>
        <w:rPr/>
      </w:pPr>
      <w:r w:rsidDel="00000000" w:rsidR="00000000" w:rsidRPr="00000000">
        <w:rPr>
          <w:rtl w:val="0"/>
        </w:rPr>
        <w:t xml:space="preserve">Business Requirements Document (BRD)</w:t>
      </w:r>
    </w:p>
    <w:bookmarkStart w:colFirst="0" w:colLast="0" w:name="mzpt8i6tlwdh" w:id="1"/>
    <w:bookmarkEnd w:id="1"/>
    <w:p w:rsidR="00000000" w:rsidDel="00000000" w:rsidP="00000000" w:rsidRDefault="00000000" w:rsidRPr="00000000" w14:paraId="00000002">
      <w:pPr>
        <w:pStyle w:val="Heading2"/>
        <w:rPr/>
      </w:pPr>
      <w:r w:rsidDel="00000000" w:rsidR="00000000" w:rsidRPr="00000000">
        <w:rPr>
          <w:rtl w:val="0"/>
        </w:rPr>
        <w:t xml:space="preserve">1. Feature Name - Direct Booking Link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n0qqo3t1yx6" w:id="2"/>
    <w:bookmarkEnd w:id="2"/>
    <w:p w:rsidR="00000000" w:rsidDel="00000000" w:rsidP="00000000" w:rsidRDefault="00000000" w:rsidRPr="00000000" w14:paraId="00000004">
      <w:pPr>
        <w:pStyle w:val="Heading2"/>
        <w:rPr/>
      </w:pPr>
      <w:r w:rsidDel="00000000" w:rsidR="00000000" w:rsidRPr="00000000">
        <w:rPr>
          <w:rtl w:val="0"/>
        </w:rPr>
        <w:t xml:space="preserve">2. One‑Paragraph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feature introduces provider‑attributed pricing on Really Global. When a client discovers a provider through that provider’s profile (or equivalent off‑site booking entry point) and later books that same provider, the platform fee for that provider–client relationship is reduced from the standard rate to a lower rate. This incentivizes providers to actively share their Really Global presence, aligns platform economics with real demand creation, and builds a long‑term distribution moat without introducing affiliate programs, payouts, or third‑party tracking.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ozw6gt5a1fz" w:id="3"/>
    <w:bookmarkEnd w:id="3"/>
    <w:p w:rsidR="00000000" w:rsidDel="00000000" w:rsidP="00000000" w:rsidRDefault="00000000" w:rsidRPr="00000000" w14:paraId="00000007">
      <w:pPr>
        <w:pStyle w:val="Heading2"/>
        <w:rPr/>
      </w:pPr>
      <w:r w:rsidDel="00000000" w:rsidR="00000000" w:rsidRPr="00000000">
        <w:rPr>
          <w:rtl w:val="0"/>
        </w:rPr>
        <w:t xml:space="preserve">3. Problem Statement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providers have limited direct economic incentive to promote Really Global over alternative booking methods or competing platforms. While providers may organically share their profiles, the platform’s fee structure does not currently differentiate between demand generated by the platform versus demand generated directly by providers themselves. This creates a missed opportunity to align incentives, reduce reliance on centralized acquisition, and reward providers for bringing their own clients into the platform ecosystem.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xif6e63fwd7" w:id="4"/>
    <w:bookmarkEnd w:id="4"/>
    <w:p w:rsidR="00000000" w:rsidDel="00000000" w:rsidP="00000000" w:rsidRDefault="00000000" w:rsidRPr="00000000" w14:paraId="0000000A">
      <w:pPr>
        <w:pStyle w:val="Heading2"/>
        <w:rPr/>
      </w:pPr>
      <w:r w:rsidDel="00000000" w:rsidR="00000000" w:rsidRPr="00000000">
        <w:rPr>
          <w:rtl w:val="0"/>
        </w:rPr>
        <w:t xml:space="preserve">4. Strategic Context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feature is a core marketplace primitive that directly supports long‑term defensibility. By rewarding provider‑driven demand with lower platform fees, Really Global encourages providers to treat the platform as their primary professional home rather than a passive directory. The result is stronger provider loyalty, lower blended acquisition costs, increased trust in platform economics, and a compounding distribution advantage as providers promote their own profiles across social media, websites, and direct outreach.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capability is intentionally designed to be embedded, invisible, and durable — not promotional, temporary, or campaign‑based.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77i8mjmvv8b" w:id="5"/>
    <w:bookmarkEnd w:id="5"/>
    <w:p w:rsidR="00000000" w:rsidDel="00000000" w:rsidP="00000000" w:rsidRDefault="00000000" w:rsidRPr="00000000" w14:paraId="0000000E">
      <w:pPr>
        <w:pStyle w:val="Heading2"/>
        <w:rPr/>
      </w:pPr>
      <w:r w:rsidDel="00000000" w:rsidR="00000000" w:rsidRPr="00000000">
        <w:rPr>
          <w:rtl w:val="0"/>
        </w:rPr>
        <w:t xml:space="preserve">5. Goals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Incentivize providers to actively share their Really Global profiles and booking links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provider‑driven client acquisition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 long‑term reliance on paid or centralized acquisition channels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 provider retention through fair and transparent economics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a durable, compounding distribution moat at the marketplace level</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vspo2oykub4" w:id="6"/>
    <w:bookmarkEnd w:id="6"/>
    <w:p w:rsidR="00000000" w:rsidDel="00000000" w:rsidP="00000000" w:rsidRDefault="00000000" w:rsidRPr="00000000" w14:paraId="00000015">
      <w:pPr>
        <w:pStyle w:val="Heading2"/>
        <w:rPr/>
      </w:pPr>
      <w:r w:rsidDel="00000000" w:rsidR="00000000" w:rsidRPr="00000000">
        <w:rPr>
          <w:rtl w:val="0"/>
        </w:rPr>
        <w:t xml:space="preserve">6. Non‑Goals (Out of Scope)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Creating an affiliate or referral payout program</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Introducing commissions, bonuses, or secondary payouts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Platform‑wide client discounts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Time‑limited promotions or marketing campaigns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Prescribing UI layouts or technical implementations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tv7ehfyck27" w:id="7"/>
    <w:bookmarkEnd w:id="7"/>
    <w:p w:rsidR="00000000" w:rsidDel="00000000" w:rsidP="00000000" w:rsidRDefault="00000000" w:rsidRPr="00000000" w14:paraId="0000001C">
      <w:pPr>
        <w:pStyle w:val="Heading2"/>
        <w:rPr/>
      </w:pPr>
      <w:r w:rsidDel="00000000" w:rsidR="00000000" w:rsidRPr="00000000">
        <w:rPr>
          <w:rtl w:val="0"/>
        </w:rPr>
        <w:t xml:space="preserve">7. Primary Users / Actors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professionals with public Really Global profiles who may share their profiles or booking links externally.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Individuals seeking care who may discover providers through external links, social media, or direct navigation.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Responsible for attribution, pricing logic, and enforcing fee rules at the time of booking.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Finance / Operations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Stakeholders responsible for reconciling platform fees, reporting, and economic outcomes.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Design / UX (when applicable)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Design’s role is not to invent the pricing logic. Design supports adoption and trust by shaping how the capability is understood and used in the product: provider‑facing messaging, share/link affordances, and any surfaces that communicate eligibility, fee tier outcomes, or expectations (without exposing implementation complexity).</w:t>
      </w:r>
    </w:p>
    <w:bookmarkStart w:colFirst="0" w:colLast="0" w:name="icl7oixfmq2s" w:id="8"/>
    <w:bookmarkEnd w:id="8"/>
    <w:p w:rsidR="00000000" w:rsidDel="00000000" w:rsidP="00000000" w:rsidRDefault="00000000" w:rsidRPr="00000000" w14:paraId="00000022">
      <w:pPr>
        <w:pStyle w:val="Heading2"/>
        <w:rPr/>
      </w:pPr>
      <w:r w:rsidDel="00000000" w:rsidR="00000000" w:rsidRPr="00000000">
        <w:rPr>
          <w:rtl w:val="0"/>
        </w:rPr>
        <w:t xml:space="preserve">8. User Motivation &amp; Incentives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Providers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Providers are motivated to share their Really Global presence because doing so directly improves their unit economics for clients they personally bring to the platform.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Clients experience no visible complexity or friction; they simply book the provider they choose through a clean, professional platform.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platform benefits from distributed acquisition, increased provider trust, and reduced dependency on paid growth.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a99v5fgln8r" w:id="9"/>
    <w:bookmarkEnd w:id="9"/>
    <w:p w:rsidR="00000000" w:rsidDel="00000000" w:rsidP="00000000" w:rsidRDefault="00000000" w:rsidRPr="00000000" w14:paraId="00000027">
      <w:pPr>
        <w:pStyle w:val="Heading2"/>
        <w:rPr/>
      </w:pPr>
      <w:r w:rsidDel="00000000" w:rsidR="00000000" w:rsidRPr="00000000">
        <w:rPr>
          <w:rtl w:val="0"/>
        </w:rPr>
        <w:t xml:space="preserve">9. Core Experience (Outcome‑Level)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should feel that sharing their Really Global profile is both natural and economically rewarding. It should be obvious that clients they personally bring into the platform result in better long‑term economics without requiring special setup, tracking links, or ongoing management.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should experience a seamless journey: discovering a provider, exploring the platform, and booking sessions without awareness of any underlying attribution or pricing logic.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should consistently and reliably apply reduced platform fees only when a provider has directly influenced the formation of that specific provider–client relationship.</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gnmtuuypopf" w:id="10"/>
    <w:bookmarkEnd w:id="10"/>
    <w:p w:rsidR="00000000" w:rsidDel="00000000" w:rsidP="00000000" w:rsidRDefault="00000000" w:rsidRPr="00000000" w14:paraId="0000002C">
      <w:pPr>
        <w:pStyle w:val="Heading2"/>
        <w:rPr/>
      </w:pPr>
      <w:r w:rsidDel="00000000" w:rsidR="00000000" w:rsidRPr="00000000">
        <w:rPr>
          <w:rtl w:val="0"/>
        </w:rPr>
        <w:t xml:space="preserve">10. Success Metrics / Signals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Percentage of bookings attributed to provider‑driven discovery</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in provider‑initiated sharing behavior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 retention and engagement over time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Reduction in blended client acquisition cost</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Stability of overall platform take rate despite localized reductions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es5cz6kaax7" w:id="11"/>
    <w:bookmarkEnd w:id="11"/>
    <w:p w:rsidR="00000000" w:rsidDel="00000000" w:rsidP="00000000" w:rsidRDefault="00000000" w:rsidRPr="00000000" w14:paraId="00000033">
      <w:pPr>
        <w:pStyle w:val="Heading2"/>
        <w:rPr/>
      </w:pPr>
      <w:r w:rsidDel="00000000" w:rsidR="00000000" w:rsidRPr="00000000">
        <w:rPr>
          <w:rtl w:val="0"/>
        </w:rPr>
        <w:t xml:space="preserve">11. Constraints &amp; Guardrails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Attribution must be scoped to individual provider–client relationships, not globally to a client</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Reduced fees apply only when the booked provider matches the attributed provider</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site navigation must not create attribution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visible tracking parameters are required for providers to share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function consistently across supported payment providers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not introduce manual operational workflows or reconciliation overhead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uefj4txu1ju" w:id="12"/>
    <w:bookmarkEnd w:id="12"/>
    <w:p w:rsidR="00000000" w:rsidDel="00000000" w:rsidP="00000000" w:rsidRDefault="00000000" w:rsidRPr="00000000" w14:paraId="0000003B">
      <w:pPr>
        <w:pStyle w:val="Heading2"/>
        <w:rPr/>
      </w:pPr>
      <w:r w:rsidDel="00000000" w:rsidR="00000000" w:rsidRPr="00000000">
        <w:rPr>
          <w:rtl w:val="0"/>
        </w:rPr>
        <w:t xml:space="preserve">12. Risks &amp; Open Questions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for misunderstanding by providers if attribution rules are unclear</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Edge cases involving multiple provider discovery events over time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 impact on blended platform revenue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behavior across devices or browsers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se8g4wx798a" w:id="13"/>
    <w:bookmarkEnd w:id="13"/>
    <w:p w:rsidR="00000000" w:rsidDel="00000000" w:rsidP="00000000" w:rsidRDefault="00000000" w:rsidRPr="00000000" w14:paraId="00000041">
      <w:pPr>
        <w:pStyle w:val="Heading2"/>
        <w:rPr/>
      </w:pPr>
      <w:r w:rsidDel="00000000" w:rsidR="00000000" w:rsidRPr="00000000">
        <w:rPr>
          <w:rtl w:val="0"/>
        </w:rPr>
        <w:t xml:space="preserve">13. Dependencies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Existing provider profile URL structure</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and payment flow capable of dynamic platform fee calculation</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attribution storage at the provider–client level</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 and reconciliation systems</w:t>
      </w:r>
    </w:p>
    <w:bookmarkStart w:colFirst="0" w:colLast="0" w:name="jrxh08dbpy9f" w:id="14"/>
    <w:bookmarkEnd w:id="14"/>
    <w:p w:rsidR="00000000" w:rsidDel="00000000" w:rsidP="00000000" w:rsidRDefault="00000000" w:rsidRPr="00000000" w14:paraId="00000046">
      <w:pPr>
        <w:pStyle w:val="Heading2"/>
        <w:rPr/>
      </w:pPr>
      <w:r w:rsidDel="00000000" w:rsidR="00000000" w:rsidRPr="00000000">
        <w:rPr>
          <w:rtl w:val="0"/>
        </w:rPr>
        <w:t xml:space="preserve">13a. Payment Processor Capability (Technical Reality)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feature relies on an existing capability of marketplace payment processing: the platform can set its take rate per transaction at the time a client pays.</w:t>
      </w:r>
    </w:p>
    <w:p w:rsidR="00000000" w:rsidDel="00000000" w:rsidP="00000000" w:rsidRDefault="00000000" w:rsidRPr="00000000" w14:paraId="00000048">
      <w:pPr>
        <w:numPr>
          <w:ilvl w:val="0"/>
          <w:numId w:val="7"/>
        </w:numPr>
        <w:ind w:left="720" w:hanging="360"/>
        <w:rPr/>
      </w:pPr>
      <w:r w:rsidDel="00000000" w:rsidR="00000000" w:rsidRPr="00000000">
        <w:rPr>
          <w:b w:val="1"/>
          <w:bCs w:val="1"/>
          <w:rtl w:val="0"/>
        </w:rPr>
        <w:t xml:space="preserve">Stripe (Connect with Standard connected accounts):</w:t>
      </w:r>
      <w:r w:rsidDel="00000000" w:rsidR="00000000" w:rsidRPr="00000000">
        <w:rPr>
          <w:rtl w:val="0"/>
        </w:rPr>
        <w:t xml:space="preserve"> The platform can collect a variable platform fee on a per‑transaction basis by setting an application fee (or equivalent fee/transfer split) when creating the payment. This enables charging 15% by default and 10% for attributed provider–client bookings.</w:t>
      </w:r>
    </w:p>
    <w:p w:rsidR="00000000" w:rsidDel="00000000" w:rsidP="00000000" w:rsidRDefault="00000000" w:rsidRPr="00000000" w14:paraId="00000049">
      <w:pPr>
        <w:numPr>
          <w:ilvl w:val="0"/>
          <w:numId w:val="7"/>
        </w:numPr>
        <w:ind w:left="720" w:hanging="360"/>
        <w:rPr/>
      </w:pPr>
      <w:r w:rsidDel="00000000" w:rsidR="00000000" w:rsidRPr="00000000">
        <w:rPr>
          <w:b w:val="1"/>
          <w:bCs w:val="1"/>
          <w:rtl w:val="0"/>
        </w:rPr>
        <w:t xml:space="preserve">PayPal (platform/partner fee / multiparty style flows):</w:t>
      </w:r>
      <w:r w:rsidDel="00000000" w:rsidR="00000000" w:rsidRPr="00000000">
        <w:rPr>
          <w:rtl w:val="0"/>
        </w:rPr>
        <w:t xml:space="preserve"> The platform can specify a platform fee as part of order/transaction creation so the platform fee can vary per transaction (15% default vs 10% when attributed).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payment processors do not determine attribution; they simply execute the fee amount the platform specifies for that transaction.</w:t>
      </w:r>
    </w:p>
    <w:bookmarkStart w:colFirst="0" w:colLast="0" w:name="e26uexsrcjsm" w:id="15"/>
    <w:bookmarkEnd w:id="15"/>
    <w:p w:rsidR="00000000" w:rsidDel="00000000" w:rsidP="00000000" w:rsidRDefault="00000000" w:rsidRPr="00000000" w14:paraId="0000004B">
      <w:pPr>
        <w:pStyle w:val="Heading2"/>
        <w:rPr/>
      </w:pPr>
      <w:r w:rsidDel="00000000" w:rsidR="00000000" w:rsidRPr="00000000">
        <w:rPr>
          <w:rtl w:val="0"/>
        </w:rPr>
        <w:t xml:space="preserve">14. Definition of “Done” (Outcome‑Based)</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can share their existing profile or booking links without modification</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can reliably identify provider‑attributed provider–client relationships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Bookings between attributed provider–client pairs apply the reduced platform fee</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Bookings without attribution continue to apply the standard platform fee</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Finance reporting accurately reflects applied fee tiers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lsnrkbqh1ga" w:id="16"/>
    <w:bookmarkEnd w:id="16"/>
    <w:p w:rsidR="00000000" w:rsidDel="00000000" w:rsidP="00000000" w:rsidRDefault="00000000" w:rsidRPr="00000000" w14:paraId="00000052">
      <w:pPr>
        <w:pStyle w:val="Heading2"/>
        <w:rPr/>
      </w:pPr>
      <w:r w:rsidDel="00000000" w:rsidR="00000000" w:rsidRPr="00000000">
        <w:rPr>
          <w:rtl w:val="0"/>
        </w:rPr>
        <w:t xml:space="preserve">15. Open Design &amp; Implementation Space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defines what must be achieved, not how it must be built.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Engineering, Design, and QA are encouraged to propose solutions that best satisfy the outcomes and constraints above, including approaches not explicitly anticipated here. Implementation details, UI decisions, and architectural choices are intentionally left open to enable creativity, speed, and innovation.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