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Certn Additional Access Fees Automation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Status</w:t>
            </w:r>
          </w:p>
        </w:tc>
        <w:tc>
          <w:p>
            <w:r>
              <w:t xml:space="preserve">Draft</w:t>
            </w:r>
          </w:p>
        </w:tc>
      </w:tr>
      <w:tr>
        <w:tc>
          <w:p>
            <w:r>
              <w:rPr>
                <w:b/>
                <w:bCs/>
              </w:rPr>
              <w:t xml:space="preserve">Owner</w:t>
            </w:r>
          </w:p>
        </w:tc>
        <w:tc>
          <w:p>
            <w:r>
              <w:t xml:space="preserve">Product + Eng</w:t>
            </w:r>
          </w:p>
        </w:tc>
      </w:tr>
      <w:tr>
        <w:tc>
          <w:p>
            <w:r>
              <w:rPr>
                <w:b/>
                <w:bCs/>
              </w:rPr>
              <w:t xml:space="preserve">Stakeholders</w:t>
            </w:r>
          </w:p>
        </w:tc>
        <w:tc>
          <w:p>
            <w:r>
              <w:t xml:space="preserve">Product, Design, Engineering, SEO</w:t>
            </w:r>
          </w:p>
        </w:tc>
      </w:tr>
      <w:tr>
        <w:tc>
          <w:p>
            <w:r>
              <w:rPr>
                <w:b/>
                <w:bCs/>
              </w:rPr>
              <w:t xml:space="preserve">Last Updated</w:t>
            </w:r>
          </w:p>
        </w:tc>
        <w:tc>
          <w:p>
            <w:r>
              <w:t xml:space="preserve">2026-01-12</w:t>
            </w:r>
          </w:p>
        </w:tc>
      </w:tr>
    </w:tbl>
    <w:p>
      <w:pPr>
        <w:pStyle w:val="Heading2"/>
      </w:pPr>
      <w:r>
        <w:t xml:space="preserve">Overview</w:t>
      </w:r>
    </w:p>
    <w:p>
      <w:r>
        <w:t xml:space="preserve">Automate Certn additional access fee handling during provider verification.</w:t>
      </w:r>
    </w:p>
    <w:p>
      <w:pPr>
        <w:pStyle w:val="Heading2"/>
      </w:pPr>
      <w:r>
        <w:t xml:space="preserve">Goals</w:t>
      </w:r>
    </w:p>
    <w:p>
      <w:pPr>
        <w:pStyle w:val="ListParagraph"/>
        <w:numPr>
          <w:ilvl w:val="0"/>
          <w:numId w:val="1"/>
        </w:numPr>
      </w:pPr>
      <w:r>
        <w:t xml:space="preserve">Reduce manual processing</w:t>
      </w:r>
    </w:p>
    <w:p>
      <w:pPr>
        <w:pStyle w:val="Heading2"/>
      </w:pPr>
      <w:r>
        <w:t xml:space="preserve">Non‑Goals</w:t>
      </w:r>
    </w:p>
    <w:p>
      <w:pPr>
        <w:pStyle w:val="Heading2"/>
      </w:pPr>
      <w:r>
        <w:t xml:space="preserve">User Stories</w:t>
      </w:r>
    </w:p>
    <w:p>
      <w:pPr>
        <w:pStyle w:val="Heading2"/>
      </w:pPr>
      <w:r>
        <w:t xml:space="preserve">Scope &amp; Dependencies</w:t>
      </w:r>
    </w:p>
    <w:p>
      <w:pPr>
        <w:pStyle w:val="Heading2"/>
      </w:pPr>
      <w:r>
        <w:t xml:space="preserve">Engineering Design Plan</w:t>
      </w:r>
    </w:p>
    <w:p>
      <w:pPr>
        <w:pStyle w:val="Heading3"/>
      </w:pPr>
      <w:r>
        <w:t xml:space="preserve">System Boundaries</w:t>
      </w:r>
    </w:p>
    <w:p>
      <w:pPr>
        <w:pStyle w:val="ListParagraph"/>
        <w:numPr>
          <w:ilvl w:val="0"/>
          <w:numId w:val="1"/>
        </w:numPr>
      </w:pPr>
      <w:r>
        <w:t xml:space="preserve">Certn integration</w:t>
      </w:r>
    </w:p>
    <w:p>
      <w:pPr>
        <w:pStyle w:val="ListParagraph"/>
        <w:numPr>
          <w:ilvl w:val="0"/>
          <w:numId w:val="1"/>
        </w:numPr>
      </w:pPr>
      <w:r>
        <w:t xml:space="preserve">Billing/fees</w:t>
      </w:r>
    </w:p>
    <w:p>
      <w:pPr>
        <w:pStyle w:val="Heading3"/>
      </w:pPr>
      <w:r>
        <w:t xml:space="preserve">Data Ownership</w:t>
      </w:r>
    </w:p>
    <w:p>
      <w:pPr>
        <w:pStyle w:val="ListParagraph"/>
        <w:numPr>
          <w:ilvl w:val="0"/>
          <w:numId w:val="1"/>
        </w:numPr>
      </w:pPr>
      <w:r>
        <w:t xml:space="preserve">Certn fee data</w:t>
      </w:r>
    </w:p>
    <w:p>
      <w:pPr>
        <w:pStyle w:val="Heading3"/>
      </w:pPr>
      <w:r>
        <w:t xml:space="preserve">Data Model (ERD)</w:t>
      </w:r>
    </w:p>
    <w:p>
      <w:r>
        <w:t xml:space="preserve">Entities and relationships:</w:t>
      </w:r>
    </w:p>
    <w:p>
      <w:r>
        <w:rPr>
          <w:rFonts w:ascii="Consolas" w:cs="Consolas" w:eastAsia="Consolas" w:hAnsi="Consolas"/>
        </w:rPr>
        <w:t xml:space="preserve">CertnApplication 1---* Fee</w:t>
      </w:r>
    </w:p>
    <w:p>
      <w:pPr>
        <w:pStyle w:val="Heading3"/>
      </w:pPr>
      <w:r>
        <w:t xml:space="preserve">Data Flow</w:t>
      </w:r>
    </w:p>
    <w:p>
      <w:pPr>
        <w:pStyle w:val="ListParagraph"/>
        <w:numPr>
          <w:ilvl w:val="0"/>
          <w:numId w:val="1"/>
        </w:numPr>
      </w:pPr>
      <w:r>
        <w:t xml:space="preserve">Certn response → fee flag → invoice</w:t>
      </w:r>
    </w:p>
    <w:p>
      <w:pPr>
        <w:pStyle w:val="Heading3"/>
      </w:pPr>
      <w:r>
        <w:t xml:space="preserve">Caching / Indexing</w:t>
      </w:r>
    </w:p>
    <w:p>
      <w:pPr>
        <w:pStyle w:val="ListParagraph"/>
        <w:numPr>
          <w:ilvl w:val="0"/>
          <w:numId w:val="1"/>
        </w:numPr>
      </w:pPr>
      <w:r>
        <w:t xml:space="preserve">N/A</w:t>
      </w:r>
    </w:p>
    <w:p>
      <w:pPr>
        <w:pStyle w:val="Heading3"/>
      </w:pPr>
      <w:r>
        <w:t xml:space="preserve">Migration / Backfill</w:t>
      </w:r>
    </w:p>
    <w:p>
      <w:pPr>
        <w:pStyle w:val="ListParagraph"/>
        <w:numPr>
          <w:ilvl w:val="0"/>
          <w:numId w:val="1"/>
        </w:numPr>
      </w:pPr>
      <w:r>
        <w:t xml:space="preserve">Add fee tracking fields</w:t>
      </w:r>
    </w:p>
    <w:p>
      <w:pPr>
        <w:pStyle w:val="Heading2"/>
      </w:pPr>
      <w:r>
        <w:t xml:space="preserve">Data Model: Field Definitions</w:t>
      </w:r>
    </w:p>
    <w:p>
      <w:pPr>
        <w:pStyle w:val="ListParagraph"/>
        <w:numPr>
          <w:ilvl w:val="0"/>
          <w:numId w:val="1"/>
        </w:numPr>
      </w:pPr>
      <w:r>
        <w:t xml:space="preserve">CertnFee: { amount, currency, reason, status }</w:t>
      </w:r>
    </w:p>
    <w:p>
      <w:pPr>
        <w:pStyle w:val="Heading2"/>
      </w:pPr>
      <w:r>
        <w:t xml:space="preserve">Functional Requirements</w:t>
      </w:r>
    </w:p>
    <w:p>
      <w:pPr>
        <w:pStyle w:val="Heading2"/>
      </w:pPr>
      <w:r>
        <w:t xml:space="preserve">Non‑Functional Requirements</w:t>
      </w:r>
    </w:p>
    <w:p>
      <w:pPr>
        <w:pStyle w:val="Heading2"/>
      </w:pPr>
      <w:r>
        <w:t xml:space="preserve">Routing &amp; URL Behavior</w:t>
      </w:r>
    </w:p>
    <w:p>
      <w:pPr>
        <w:pStyle w:val="Heading2"/>
      </w:pPr>
      <w:r>
        <w:t xml:space="preserve">API / GraphQL Contract</w:t>
      </w:r>
    </w:p>
    <w:p>
      <w:pPr>
        <w:pStyle w:val="Heading2"/>
      </w:pPr>
      <w:r>
        <w:t xml:space="preserve">Implementation Plan (Task‑Level)</w:t>
      </w:r>
    </w:p>
    <w:p>
      <w:pPr>
        <w:pStyle w:val="ListParagraph"/>
        <w:numPr>
          <w:ilvl w:val="0"/>
          <w:numId w:val="1"/>
        </w:numPr>
      </w:pPr>
      <w:r>
        <w:t xml:space="preserve">Parse Certn fees</w:t>
      </w:r>
    </w:p>
    <w:p>
      <w:pPr>
        <w:pStyle w:val="ListParagraph"/>
        <w:numPr>
          <w:ilvl w:val="0"/>
          <w:numId w:val="1"/>
        </w:numPr>
      </w:pPr>
      <w:r>
        <w:t xml:space="preserve">Trigger billing</w:t>
      </w:r>
    </w:p>
    <w:p>
      <w:pPr>
        <w:pStyle w:val="Heading2"/>
      </w:pPr>
      <w:r>
        <w:t xml:space="preserve">Migration / Backfill Steps</w:t>
      </w:r>
    </w:p>
    <w:p>
      <w:pPr>
        <w:pStyle w:val="ListParagraph"/>
        <w:numPr>
          <w:ilvl w:val="0"/>
          <w:numId w:val="1"/>
        </w:numPr>
      </w:pPr>
      <w:r>
        <w:t xml:space="preserve">Create CertnFee table</w:t>
      </w:r>
    </w:p>
    <w:p>
      <w:pPr>
        <w:pStyle w:val="Heading2"/>
      </w:pPr>
      <w:r>
        <w:t xml:space="preserve">Test Plan</w:t>
      </w:r>
    </w:p>
    <w:p>
      <w:pPr>
        <w:pStyle w:val="Heading3"/>
      </w:pPr>
      <w:r>
        <w:t xml:space="preserve">Unit Tests</w:t>
      </w:r>
    </w:p>
    <w:p>
      <w:pPr>
        <w:pStyle w:val="ListParagraph"/>
        <w:numPr>
          <w:ilvl w:val="0"/>
          <w:numId w:val="1"/>
        </w:numPr>
      </w:pPr>
      <w:r>
        <w:t xml:space="preserve">Fee parsing</w:t>
      </w:r>
    </w:p>
    <w:p>
      <w:pPr>
        <w:pStyle w:val="Heading3"/>
      </w:pPr>
      <w:r>
        <w:t xml:space="preserve">Integration Tests</w:t>
      </w:r>
    </w:p>
    <w:p>
      <w:pPr>
        <w:pStyle w:val="ListParagraph"/>
        <w:numPr>
          <w:ilvl w:val="0"/>
          <w:numId w:val="1"/>
        </w:numPr>
      </w:pPr>
      <w:r>
        <w:t xml:space="preserve">Fee triggers billing</w:t>
      </w:r>
    </w:p>
    <w:p>
      <w:pPr>
        <w:pStyle w:val="Heading3"/>
      </w:pPr>
      <w:r>
        <w:t xml:space="preserve">Manual QA</w:t>
      </w:r>
    </w:p>
    <w:p>
      <w:pPr>
        <w:pStyle w:val="ListParagraph"/>
        <w:numPr>
          <w:ilvl w:val="0"/>
          <w:numId w:val="1"/>
        </w:numPr>
      </w:pPr>
      <w:r>
        <w:t xml:space="preserve">Compare manual vs automated</w:t>
      </w:r>
    </w:p>
    <w:p>
      <w:pPr>
        <w:pStyle w:val="Heading2"/>
      </w:pPr>
      <w:r>
        <w:t xml:space="preserve">QA Test Cases (Expected Results)</w:t>
      </w:r>
    </w:p>
    <w:p>
      <w:pPr>
        <w:pStyle w:val="ListParagraph"/>
        <w:numPr>
          <w:ilvl w:val="0"/>
          <w:numId w:val="1"/>
        </w:numPr>
      </w:pPr>
      <w:r>
        <w:t xml:space="preserve">Additional fee causes invoice creation</w:t>
      </w:r>
    </w:p>
    <w:p>
      <w:pPr>
        <w:pStyle w:val="Heading2"/>
      </w:pPr>
      <w:r>
        <w:t xml:space="preserve">Analytics / Tracking</w:t>
      </w:r>
    </w:p>
    <w:p>
      <w:pPr>
        <w:pStyle w:val="Heading2"/>
      </w:pPr>
      <w:r>
        <w:t xml:space="preserve">Risks &amp; Dependencies</w:t>
      </w:r>
    </w:p>
    <w:p>
      <w:pPr>
        <w:pStyle w:val="Heading2"/>
      </w:pPr>
      <w:r>
        <w:t xml:space="preserve">Assumptions / Unknowns</w:t>
      </w:r>
    </w:p>
    <w:p>
      <w:pPr>
        <w:pStyle w:val="Heading2"/>
      </w:pPr>
      <w:r>
        <w:t xml:space="preserve">Open Questions</w:t>
      </w:r>
    </w:p>
    <w:p>
      <w:pPr>
        <w:pStyle w:val="Heading2"/>
      </w:pPr>
      <w:r>
        <w:t xml:space="preserve">Acceptance Criteria</w:t>
      </w:r>
    </w:p>
    <w:p>
      <w:pPr>
        <w:pStyle w:val="Heading2"/>
      </w:pPr>
      <w:r>
        <w:t xml:space="preserve">Rollout / Release</w:t>
      </w:r>
    </w:p>
    <w:p>
      <w:pPr>
        <w:pStyle w:val="Heading2"/>
      </w:pPr>
      <w:r>
        <w:t xml:space="preserve">Code References</w:t>
      </w:r>
    </w:p>
    <w:p>
      <w:pPr>
        <w:pStyle w:val="ListParagraph"/>
        <w:numPr>
          <w:ilvl w:val="0"/>
          <w:numId w:val="1"/>
        </w:numPr>
      </w:pPr>
      <w:r>
        <w:t xml:space="preserve">ContextFiles/HumanDocuments/Features/BRD - Certn Additional Access Fees Automation.txt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2026-01-12T01:13:45.455Z</dcterms:created>
  <dcterms:modified xsi:type="dcterms:W3CDTF">2026-01-12T01:13:45.455Z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