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FAD20">
      <w:pPr>
        <w:spacing w:before="240" w:after="80"/>
        <w:jc w:val="center"/>
        <w:rPr>
          <w:color w:val="auto"/>
        </w:rPr>
      </w:pPr>
      <w:r>
        <w:rPr>
          <w:b/>
          <w:color w:val="auto"/>
          <w:sz w:val="36"/>
        </w:rPr>
        <w:t>KẾ HOẠCH DỮ LIỆU MÔ HÌNH AI DỰ BÁO THỜI LƯỢNG</w:t>
      </w:r>
    </w:p>
    <w:p w14:paraId="63AA5504">
      <w:pPr>
        <w:pStyle w:val="2"/>
        <w:keepNext/>
        <w:spacing w:before="320" w:after="120"/>
        <w:rPr>
          <w:color w:val="auto"/>
        </w:rPr>
      </w:pPr>
      <w:r>
        <w:rPr>
          <w:rFonts w:ascii="Times New Roman" w:hAnsi="Times New Roman"/>
          <w:b/>
          <w:color w:val="auto"/>
          <w:sz w:val="30"/>
        </w:rPr>
        <w:t>1. MỤC ĐÍCH VÀ NGUYÊN TẮC CỐT LÕI (CORE PRINCIPLES)</w:t>
      </w:r>
    </w:p>
    <w:p w14:paraId="0EF481E7">
      <w:pPr>
        <w:pStyle w:val="3"/>
        <w:keepNext/>
        <w:spacing w:before="240" w:after="80"/>
        <w:rPr>
          <w:color w:val="auto"/>
        </w:rPr>
      </w:pPr>
      <w:r>
        <w:rPr>
          <w:rFonts w:ascii="Times New Roman" w:hAnsi="Times New Roman"/>
          <w:b/>
          <w:color w:val="auto"/>
          <w:sz w:val="27"/>
        </w:rPr>
        <w:t>1.1. Nguyên tắc 1: Độc lập với Nhân viên (Staff-Independent Attribute)</w:t>
      </w:r>
    </w:p>
    <w:p w14:paraId="13442421">
      <w:pPr>
        <w:rPr>
          <w:color w:val="auto"/>
        </w:rPr>
      </w:pPr>
      <w:r>
        <w:rPr>
          <w:color w:val="auto"/>
        </w:rPr>
        <w:t xml:space="preserve">• thời lượng dự báo </w:t>
      </w:r>
      <w:r>
        <w:rPr>
          <w:b/>
          <w:color w:val="auto"/>
        </w:rPr>
        <w:t>predicted_duration</w:t>
      </w:r>
      <w:r>
        <w:rPr>
          <w:color w:val="auto"/>
        </w:rPr>
        <w:t xml:space="preserve"> là thuộc tính riêng thuộc về Đơn đăng ký Dịch vụ (</w:t>
      </w:r>
      <w:r>
        <w:rPr>
          <w:b/>
          <w:color w:val="auto"/>
        </w:rPr>
        <w:t>Service Request</w:t>
      </w:r>
      <w:r>
        <w:rPr>
          <w:color w:val="auto"/>
        </w:rPr>
        <w:t xml:space="preserve">) và bối cảnh yêu cầu. Mô hình </w:t>
      </w:r>
      <w:r>
        <w:rPr>
          <w:b/>
          <w:color w:val="auto"/>
        </w:rPr>
        <w:t>không sử dụng employee_id</w:t>
      </w:r>
      <w:r>
        <w:rPr>
          <w:color w:val="auto"/>
        </w:rPr>
        <w:t xml:space="preserve"> hay thông tin lịch sử của nhân viên làm feature.</w:t>
      </w:r>
    </w:p>
    <w:p w14:paraId="0BE55768">
      <w:pPr>
        <w:rPr>
          <w:color w:val="auto"/>
        </w:rPr>
      </w:pPr>
      <w:r>
        <w:rPr>
          <w:color w:val="auto"/>
        </w:rPr>
        <w:t xml:space="preserve">• </w:t>
      </w:r>
      <w:r>
        <w:rPr>
          <w:b/>
          <w:color w:val="auto"/>
        </w:rPr>
        <w:t>Lý do nghiệp vụ:</w:t>
      </w:r>
      <w:r>
        <w:rPr>
          <w:color w:val="auto"/>
        </w:rPr>
        <w:t xml:space="preserve"> Mỗi Yêu cầu Dịch vụ cần phải có đúng </w:t>
      </w:r>
      <w:r>
        <w:rPr>
          <w:b/>
          <w:color w:val="auto"/>
        </w:rPr>
        <w:t>một giá trị thời lượng dự báo duy nhất</w:t>
      </w:r>
      <w:r>
        <w:rPr>
          <w:color w:val="auto"/>
        </w:rPr>
        <w:t xml:space="preserve"> thống nhất. Nếu đưa mã nhân viên vào mô hình, cùng một yêu cầu dịch vụ sẽ sinh ra nhiều mức thời lượng dự báo khác nhau tùy thuộc vào từng ứng viên. Điều này làm phức tạp hóa bài toán Tối ưu hóa Lập lịch toàn cục (Google OR-Tools) phía sau.</w:t>
      </w:r>
    </w:p>
    <w:p w14:paraId="351E870C">
      <w:pPr>
        <w:pStyle w:val="3"/>
        <w:keepNext/>
        <w:spacing w:before="240" w:after="80"/>
        <w:rPr>
          <w:color w:val="auto"/>
        </w:rPr>
      </w:pPr>
      <w:r>
        <w:rPr>
          <w:rFonts w:ascii="Times New Roman" w:hAnsi="Times New Roman"/>
          <w:b/>
          <w:color w:val="auto"/>
          <w:sz w:val="27"/>
        </w:rPr>
        <w:t>1.2. Nguyên tắc 2: Phòng chống Rò rỉ Dữ liệu (Data Leakage Prevention)</w:t>
      </w:r>
    </w:p>
    <w:p w14:paraId="2E9E7D43">
      <w:pPr>
        <w:rPr>
          <w:color w:val="auto"/>
        </w:rPr>
      </w:pPr>
      <w:r>
        <w:rPr>
          <w:color w:val="auto"/>
        </w:rPr>
        <w:t xml:space="preserve">• Toàn bộ các đặc trưng (Features) đưa vào mô hình dự báo phải là những thông tin </w:t>
      </w:r>
      <w:r>
        <w:rPr>
          <w:b/>
          <w:color w:val="auto"/>
        </w:rPr>
        <w:t>đã có sẵn tại thời điểm tiếp nhận và xác thực yêu cầu</w:t>
      </w:r>
      <w:r>
        <w:rPr>
          <w:color w:val="auto"/>
        </w:rPr>
        <w:t xml:space="preserve"> (trạng thái </w:t>
      </w:r>
      <w:r>
        <w:rPr>
          <w:i/>
          <w:color w:val="auto"/>
        </w:rPr>
        <w:t>validated</w:t>
      </w:r>
      <w:r>
        <w:rPr>
          <w:color w:val="auto"/>
        </w:rPr>
        <w:t>).</w:t>
      </w:r>
      <w:r>
        <w:rPr>
          <w:color w:val="auto"/>
        </w:rPr>
        <w:br w:type="textWrapping"/>
      </w:r>
      <w:r>
        <w:rPr>
          <w:color w:val="auto"/>
        </w:rPr>
        <w:t xml:space="preserve">• Loại bỏ hoàn toàn các trường thông tin chỉ xuất hiện sau khi phân công nhân sự hoặc sau khi hoàn thành thăm khám: </w:t>
      </w:r>
      <w:r>
        <w:rPr>
          <w:b/>
          <w:color w:val="auto"/>
        </w:rPr>
        <w:t>actual_start, actual_end, actual_duration, employee_id, status_outcome</w:t>
      </w:r>
      <w:r>
        <w:rPr>
          <w:color w:val="auto"/>
        </w:rPr>
        <w:t>.</w:t>
      </w:r>
    </w:p>
    <w:p w14:paraId="4CF1C8A6">
      <w:pPr>
        <w:pStyle w:val="3"/>
        <w:keepNext/>
        <w:spacing w:before="240" w:after="80"/>
        <w:rPr>
          <w:color w:val="auto"/>
        </w:rPr>
      </w:pPr>
      <w:r>
        <w:rPr>
          <w:rFonts w:ascii="Times New Roman" w:hAnsi="Times New Roman"/>
          <w:b/>
          <w:color w:val="auto"/>
          <w:sz w:val="27"/>
        </w:rPr>
        <w:t>1.3. Nguyên tắc 3: Truy vết &amp; Cơ chế Dự phòng (Human-in-the-loop &amp; Fallback)</w:t>
      </w:r>
    </w:p>
    <w:p w14:paraId="16C4E2F4">
      <w:pPr>
        <w:rPr>
          <w:color w:val="auto"/>
        </w:rPr>
      </w:pPr>
      <w:r>
        <w:rPr>
          <w:color w:val="auto"/>
        </w:rPr>
        <w:t xml:space="preserve">• Kết quả dự báo do AI sinh ra được lưu vết đầy đủ tại bảng </w:t>
      </w:r>
      <w:r>
        <w:rPr>
          <w:b/>
          <w:color w:val="auto"/>
        </w:rPr>
        <w:t>ai_predictions</w:t>
      </w:r>
      <w:r>
        <w:rPr>
          <w:color w:val="auto"/>
        </w:rPr>
        <w:t xml:space="preserve"> và tham chiếu tới phiên bản mô hình trong bảng </w:t>
      </w:r>
      <w:r>
        <w:rPr>
          <w:b/>
          <w:color w:val="auto"/>
        </w:rPr>
        <w:t>ai_model_versions</w:t>
      </w:r>
      <w:r>
        <w:rPr>
          <w:color w:val="auto"/>
        </w:rPr>
        <w:t>.</w:t>
      </w:r>
      <w:r>
        <w:rPr>
          <w:color w:val="auto"/>
        </w:rPr>
        <w:br w:type="textWrapping"/>
      </w:r>
      <w:r>
        <w:rPr>
          <w:color w:val="auto"/>
        </w:rPr>
        <w:t xml:space="preserve">• </w:t>
      </w:r>
      <w:r>
        <w:rPr>
          <w:b/>
          <w:color w:val="auto"/>
        </w:rPr>
        <w:t>Cơ chế Fallback:</w:t>
      </w:r>
      <w:r>
        <w:rPr>
          <w:color w:val="auto"/>
        </w:rPr>
        <w:t xml:space="preserve"> Khi mô hình AI gặp sự cố hoặc thiếu hụt dữ liệu, hệ thống tự động fallback về Thời lượng Định mức Mặc định (</w:t>
      </w:r>
      <w:r>
        <w:rPr>
          <w:b/>
          <w:color w:val="auto"/>
        </w:rPr>
        <w:t>services.default_duration</w:t>
      </w:r>
      <w:r>
        <w:rPr>
          <w:color w:val="auto"/>
        </w:rPr>
        <w:t>) nhằm đảm bảo tiến trình lập lịch luôn thông suốt.</w:t>
      </w:r>
    </w:p>
    <w:p w14:paraId="2509A897">
      <w:pPr>
        <w:pStyle w:val="2"/>
        <w:keepNext/>
        <w:spacing w:before="320" w:after="120"/>
        <w:rPr>
          <w:color w:val="auto"/>
        </w:rPr>
      </w:pPr>
      <w:r>
        <w:rPr>
          <w:rFonts w:ascii="Times New Roman" w:hAnsi="Times New Roman"/>
          <w:b/>
          <w:color w:val="auto"/>
          <w:sz w:val="30"/>
        </w:rPr>
        <w:t>2. PHÁT BIỂU BÀI TOÁN MACHINE LEARNING (PROBLEM FORMULATION)</w:t>
      </w:r>
    </w:p>
    <w:p w14:paraId="710BB55C">
      <w:pPr>
        <w:rPr>
          <w:color w:val="auto"/>
        </w:rPr>
      </w:pPr>
      <w:r>
        <w:rPr>
          <w:rFonts w:ascii="Times New Roman" w:hAnsi="Times New Roman"/>
          <w:color w:val="auto"/>
        </w:rPr>
        <w:t xml:space="preserve">Bài toán AI được xác định là bài toán </w:t>
      </w:r>
      <w:r>
        <w:rPr>
          <w:b/>
          <w:color w:val="auto"/>
        </w:rPr>
        <w:t>Hồi quy Có giám sát (Supervised Regression)</w:t>
      </w:r>
      <w:r>
        <w:rPr>
          <w:color w:val="auto"/>
        </w:rPr>
        <w:t xml:space="preserve"> với mục tiêu học hàm ánh xạ phi tuyến giữa các thuộc tính bối cảnh của Service Request và Thời lượng thực tế.</w:t>
      </w:r>
    </w:p>
    <w:p w14:paraId="34C7F76A">
      <w:pPr>
        <w:pStyle w:val="24"/>
        <w:rPr>
          <w:color w:val="auto"/>
        </w:rPr>
      </w:pPr>
      <w:r>
        <w:rPr>
          <w:b/>
          <w:color w:val="auto"/>
        </w:rPr>
        <w:t xml:space="preserve">Đầu vào (Features - X): </w:t>
      </w:r>
      <w:r>
        <w:rPr>
          <w:color w:val="auto"/>
        </w:rPr>
        <w:t>Tập hợp các thuộc tính trích xuất từ Yêu cầu Dịch vụ: loại dịch vụ, thời lượng định mức chuẩn, khung giờ bắt đầu mong muốn, ngày trong tuần, khu vực địa lý (quận/huyện), mức ưu tiên và mức độ phục vụ.</w:t>
      </w:r>
    </w:p>
    <w:p w14:paraId="4544441B">
      <w:pPr>
        <w:pStyle w:val="24"/>
        <w:rPr>
          <w:color w:val="auto"/>
        </w:rPr>
      </w:pPr>
      <w:r>
        <w:rPr>
          <w:b/>
          <w:color w:val="auto"/>
        </w:rPr>
        <w:t xml:space="preserve">Đầu ra Dự báo (Output - ŷ): </w:t>
      </w:r>
      <w:r>
        <w:rPr>
          <w:rFonts w:ascii="Times New Roman" w:hAnsi="Times New Roman"/>
          <w:color w:val="auto"/>
        </w:rPr>
        <w:t xml:space="preserve">Giá trị số thực liên tục </w:t>
      </w:r>
      <w:r>
        <w:rPr>
          <w:b/>
          <w:color w:val="auto"/>
        </w:rPr>
        <w:t>predicted_duration</w:t>
      </w:r>
      <w:r>
        <w:rPr>
          <w:color w:val="auto"/>
        </w:rPr>
        <w:t xml:space="preserve"> đại diện cho thời lượng ước tính cần thiết để hoàn tất dịch vụ (phút).</w:t>
      </w:r>
    </w:p>
    <w:p w14:paraId="417E553D">
      <w:pPr>
        <w:pStyle w:val="24"/>
        <w:rPr>
          <w:color w:val="auto"/>
        </w:rPr>
      </w:pPr>
      <w:r>
        <w:rPr>
          <w:b/>
          <w:color w:val="auto"/>
        </w:rPr>
        <w:t xml:space="preserve">Nhãn Mục tiêu (Target - y): </w:t>
      </w:r>
      <w:r>
        <w:rPr>
          <w:rFonts w:ascii="Times New Roman" w:hAnsi="Times New Roman"/>
          <w:color w:val="auto"/>
        </w:rPr>
        <w:t xml:space="preserve">Thời lượng thực tế </w:t>
      </w:r>
      <w:r>
        <w:rPr>
          <w:b/>
          <w:color w:val="auto"/>
        </w:rPr>
        <w:t>actual_duration</w:t>
      </w:r>
      <w:r>
        <w:rPr>
          <w:color w:val="auto"/>
        </w:rPr>
        <w:t xml:space="preserve"> được ghi nhận tại bảng </w:t>
      </w:r>
      <w:r>
        <w:rPr>
          <w:b/>
          <w:color w:val="auto"/>
        </w:rPr>
        <w:t>service_results</w:t>
      </w:r>
      <w:r>
        <w:rPr>
          <w:color w:val="auto"/>
        </w:rPr>
        <w:t xml:space="preserve"> (tính bằng phút: </w:t>
      </w:r>
      <w:r>
        <w:rPr>
          <w:i/>
          <w:color w:val="auto"/>
        </w:rPr>
        <w:t>actual_end - actual_start</w:t>
      </w:r>
      <w:r>
        <w:rPr>
          <w:color w:val="auto"/>
        </w:rPr>
        <w:t>).</w:t>
      </w:r>
    </w:p>
    <w:p w14:paraId="6A6E2EB7">
      <w:pPr>
        <w:pStyle w:val="2"/>
        <w:keepNext/>
        <w:spacing w:before="320" w:after="120"/>
        <w:rPr>
          <w:color w:val="auto"/>
        </w:rPr>
      </w:pPr>
      <w:r>
        <w:rPr>
          <w:rFonts w:ascii="Times New Roman" w:hAnsi="Times New Roman"/>
          <w:b/>
          <w:color w:val="auto"/>
          <w:sz w:val="30"/>
        </w:rPr>
        <w:t>3. MA TRẬN KẾ HOẠCH DỮ LIỆU CHI TIẾT (DATA PLAN MATRIX)</w:t>
      </w:r>
    </w:p>
    <w:p w14:paraId="12DA65DF">
      <w:pPr>
        <w:rPr>
          <w:color w:val="auto"/>
        </w:rPr>
      </w:pPr>
      <w:r>
        <w:rPr>
          <w:color w:val="auto"/>
        </w:rPr>
        <w:t>Dưới đây là Bảng Ma trận Kế hoạch Dữ liệu (Data Plan Matrix) chi tiết quy định rõ vai trò, nguồn dữ liệu và phương pháp tiền xử lý cho từng thuộc tính:</w:t>
      </w:r>
    </w:p>
    <w:tbl>
      <w:tblPr>
        <w:tblStyle w:val="12"/>
        <w:tblW w:w="0" w:type="auto"/>
        <w:jc w:val="center"/>
        <w:tblLayout w:type="fixed"/>
        <w:tblCellMar>
          <w:top w:w="0" w:type="dxa"/>
          <w:left w:w="108" w:type="dxa"/>
          <w:bottom w:w="0" w:type="dxa"/>
          <w:right w:w="108" w:type="dxa"/>
        </w:tblCellMar>
      </w:tblPr>
      <w:tblGrid>
        <w:gridCol w:w="733"/>
        <w:gridCol w:w="1618"/>
        <w:gridCol w:w="1313"/>
        <w:gridCol w:w="1440"/>
        <w:gridCol w:w="1449"/>
        <w:gridCol w:w="651"/>
        <w:gridCol w:w="1868"/>
      </w:tblGrid>
      <w:tr w14:paraId="16D67B3E">
        <w:tblPrEx>
          <w:tblCellMar>
            <w:top w:w="0" w:type="dxa"/>
            <w:left w:w="108" w:type="dxa"/>
            <w:bottom w:w="0" w:type="dxa"/>
            <w:right w:w="108" w:type="dxa"/>
          </w:tblCellMar>
        </w:tblPrEx>
        <w:trPr>
          <w:jc w:val="center"/>
        </w:trPr>
        <w:tc>
          <w:tcPr>
            <w:tcW w:w="733" w:type="dxa"/>
            <w:shd w:val="clear" w:color="auto" w:fill="1B365D"/>
          </w:tcPr>
          <w:p w14:paraId="56EC7C94">
            <w:pPr>
              <w:spacing w:before="80" w:after="80"/>
              <w:jc w:val="center"/>
              <w:rPr>
                <w:color w:val="auto"/>
              </w:rPr>
            </w:pPr>
            <w:r>
              <w:rPr>
                <w:rFonts w:ascii="Times New Roman" w:hAnsi="Times New Roman"/>
                <w:b/>
                <w:color w:val="auto"/>
                <w:sz w:val="19"/>
              </w:rPr>
              <w:t>STT</w:t>
            </w:r>
          </w:p>
        </w:tc>
        <w:tc>
          <w:tcPr>
            <w:tcW w:w="1618" w:type="dxa"/>
            <w:shd w:val="clear" w:color="auto" w:fill="1B365D"/>
          </w:tcPr>
          <w:p w14:paraId="429CC1A2">
            <w:pPr>
              <w:spacing w:before="80" w:after="80"/>
              <w:jc w:val="center"/>
              <w:rPr>
                <w:color w:val="auto"/>
              </w:rPr>
            </w:pPr>
            <w:r>
              <w:rPr>
                <w:rFonts w:ascii="Times New Roman" w:hAnsi="Times New Roman"/>
                <w:b/>
                <w:color w:val="auto"/>
                <w:sz w:val="19"/>
              </w:rPr>
              <w:t>Tên Thuộc tính</w:t>
            </w:r>
            <w:r>
              <w:rPr>
                <w:rFonts w:ascii="Times New Roman" w:hAnsi="Times New Roman"/>
                <w:b/>
                <w:color w:val="auto"/>
                <w:sz w:val="19"/>
              </w:rPr>
              <w:br w:type="textWrapping"/>
            </w:r>
            <w:r>
              <w:rPr>
                <w:rFonts w:ascii="Times New Roman" w:hAnsi="Times New Roman"/>
                <w:b/>
                <w:color w:val="auto"/>
                <w:sz w:val="19"/>
              </w:rPr>
              <w:t>(Field Name)</w:t>
            </w:r>
          </w:p>
        </w:tc>
        <w:tc>
          <w:tcPr>
            <w:tcW w:w="1313" w:type="dxa"/>
            <w:shd w:val="clear" w:color="auto" w:fill="1B365D"/>
          </w:tcPr>
          <w:p w14:paraId="6D1DC8BD">
            <w:pPr>
              <w:spacing w:before="80" w:after="80"/>
              <w:jc w:val="center"/>
              <w:rPr>
                <w:color w:val="auto"/>
              </w:rPr>
            </w:pPr>
            <w:r>
              <w:rPr>
                <w:rFonts w:ascii="Times New Roman" w:hAnsi="Times New Roman"/>
                <w:b/>
                <w:color w:val="auto"/>
                <w:sz w:val="19"/>
              </w:rPr>
              <w:t>Kiểu Dữ liệu</w:t>
            </w:r>
            <w:r>
              <w:rPr>
                <w:rFonts w:ascii="Times New Roman" w:hAnsi="Times New Roman"/>
                <w:b/>
                <w:color w:val="auto"/>
                <w:sz w:val="19"/>
              </w:rPr>
              <w:br w:type="textWrapping"/>
            </w:r>
            <w:r>
              <w:rPr>
                <w:rFonts w:ascii="Times New Roman" w:hAnsi="Times New Roman"/>
                <w:b/>
                <w:color w:val="auto"/>
                <w:sz w:val="19"/>
              </w:rPr>
              <w:t>(Data Type)</w:t>
            </w:r>
          </w:p>
        </w:tc>
        <w:tc>
          <w:tcPr>
            <w:tcW w:w="1440" w:type="dxa"/>
            <w:shd w:val="clear" w:color="auto" w:fill="1B365D"/>
          </w:tcPr>
          <w:p w14:paraId="7958F78A">
            <w:pPr>
              <w:spacing w:before="80" w:after="80"/>
              <w:jc w:val="center"/>
              <w:rPr>
                <w:color w:val="auto"/>
              </w:rPr>
            </w:pPr>
            <w:r>
              <w:rPr>
                <w:rFonts w:ascii="Times New Roman" w:hAnsi="Times New Roman"/>
                <w:b/>
                <w:color w:val="auto"/>
                <w:sz w:val="19"/>
              </w:rPr>
              <w:t>Nguồn CSDL</w:t>
            </w:r>
            <w:r>
              <w:rPr>
                <w:rFonts w:ascii="Times New Roman" w:hAnsi="Times New Roman"/>
                <w:b/>
                <w:color w:val="auto"/>
                <w:sz w:val="19"/>
              </w:rPr>
              <w:br w:type="textWrapping"/>
            </w:r>
            <w:r>
              <w:rPr>
                <w:rFonts w:ascii="Times New Roman" w:hAnsi="Times New Roman"/>
                <w:b/>
                <w:color w:val="auto"/>
                <w:sz w:val="19"/>
              </w:rPr>
              <w:t>(Source)</w:t>
            </w:r>
          </w:p>
        </w:tc>
        <w:tc>
          <w:tcPr>
            <w:tcW w:w="1449" w:type="dxa"/>
            <w:shd w:val="clear" w:color="auto" w:fill="1B365D"/>
          </w:tcPr>
          <w:p w14:paraId="34ACEE7C">
            <w:pPr>
              <w:spacing w:before="80" w:after="80"/>
              <w:jc w:val="center"/>
              <w:rPr>
                <w:color w:val="auto"/>
              </w:rPr>
            </w:pPr>
            <w:r>
              <w:rPr>
                <w:rFonts w:ascii="Times New Roman" w:hAnsi="Times New Roman"/>
                <w:b/>
                <w:color w:val="auto"/>
                <w:sz w:val="19"/>
              </w:rPr>
              <w:t>Phương pháp Mã hóa</w:t>
            </w:r>
            <w:r>
              <w:rPr>
                <w:rFonts w:ascii="Times New Roman" w:hAnsi="Times New Roman"/>
                <w:b/>
                <w:color w:val="auto"/>
                <w:sz w:val="19"/>
              </w:rPr>
              <w:br w:type="textWrapping"/>
            </w:r>
            <w:r>
              <w:rPr>
                <w:rFonts w:ascii="Times New Roman" w:hAnsi="Times New Roman"/>
                <w:b/>
                <w:color w:val="auto"/>
                <w:sz w:val="19"/>
              </w:rPr>
              <w:t>(Encoding / Preprocessing)</w:t>
            </w:r>
          </w:p>
        </w:tc>
        <w:tc>
          <w:tcPr>
            <w:tcW w:w="651" w:type="dxa"/>
            <w:shd w:val="clear" w:color="auto" w:fill="1B365D"/>
          </w:tcPr>
          <w:p w14:paraId="39BD73BD">
            <w:pPr>
              <w:spacing w:before="80" w:after="80"/>
              <w:jc w:val="center"/>
              <w:rPr>
                <w:color w:val="auto"/>
              </w:rPr>
            </w:pPr>
            <w:r>
              <w:rPr>
                <w:rFonts w:ascii="Times New Roman" w:hAnsi="Times New Roman"/>
                <w:b/>
                <w:color w:val="auto"/>
                <w:sz w:val="19"/>
              </w:rPr>
              <w:t>ML?</w:t>
            </w:r>
          </w:p>
        </w:tc>
        <w:tc>
          <w:tcPr>
            <w:tcW w:w="1868" w:type="dxa"/>
            <w:shd w:val="clear" w:color="auto" w:fill="1B365D"/>
          </w:tcPr>
          <w:p w14:paraId="0347AABC">
            <w:pPr>
              <w:spacing w:before="80" w:after="80"/>
              <w:jc w:val="center"/>
              <w:rPr>
                <w:color w:val="auto"/>
              </w:rPr>
            </w:pPr>
            <w:r>
              <w:rPr>
                <w:rFonts w:ascii="Times New Roman" w:hAnsi="Times New Roman"/>
                <w:b/>
                <w:color w:val="auto"/>
                <w:sz w:val="19"/>
              </w:rPr>
              <w:t>Vai trò &amp; Lý do chọn / Loại bỏ</w:t>
            </w:r>
          </w:p>
        </w:tc>
      </w:tr>
      <w:tr w14:paraId="6343B6A6">
        <w:tblPrEx>
          <w:tblCellMar>
            <w:top w:w="0" w:type="dxa"/>
            <w:left w:w="108" w:type="dxa"/>
            <w:bottom w:w="0" w:type="dxa"/>
            <w:right w:w="108" w:type="dxa"/>
          </w:tblCellMar>
        </w:tblPrEx>
        <w:trPr>
          <w:jc w:val="center"/>
        </w:trPr>
        <w:tc>
          <w:tcPr>
            <w:tcW w:w="733" w:type="dxa"/>
            <w:shd w:val="clear" w:color="auto" w:fill="FFFFFF"/>
          </w:tcPr>
          <w:p w14:paraId="7C7BDAE1">
            <w:pPr>
              <w:spacing w:before="60" w:after="60" w:line="276" w:lineRule="auto"/>
              <w:jc w:val="center"/>
              <w:rPr>
                <w:color w:val="auto"/>
              </w:rPr>
            </w:pPr>
            <w:r>
              <w:rPr>
                <w:rFonts w:ascii="Times New Roman" w:hAnsi="Times New Roman"/>
                <w:color w:val="auto"/>
                <w:sz w:val="18"/>
              </w:rPr>
              <w:t>1</w:t>
            </w:r>
          </w:p>
        </w:tc>
        <w:tc>
          <w:tcPr>
            <w:tcW w:w="1618" w:type="dxa"/>
            <w:shd w:val="clear" w:color="auto" w:fill="FFFFFF"/>
          </w:tcPr>
          <w:p w14:paraId="518DBC6C">
            <w:pPr>
              <w:spacing w:before="60" w:after="60" w:line="276" w:lineRule="auto"/>
              <w:jc w:val="left"/>
              <w:rPr>
                <w:color w:val="auto"/>
              </w:rPr>
            </w:pPr>
            <w:r>
              <w:rPr>
                <w:rFonts w:ascii="Times New Roman" w:hAnsi="Times New Roman"/>
                <w:b/>
                <w:color w:val="auto"/>
                <w:sz w:val="18"/>
              </w:rPr>
              <w:t>service_id</w:t>
            </w:r>
          </w:p>
        </w:tc>
        <w:tc>
          <w:tcPr>
            <w:tcW w:w="1313" w:type="dxa"/>
            <w:shd w:val="clear" w:color="auto" w:fill="FFFFFF"/>
          </w:tcPr>
          <w:p w14:paraId="4E6ED810">
            <w:pPr>
              <w:spacing w:before="60" w:after="60" w:line="276" w:lineRule="auto"/>
              <w:jc w:val="center"/>
              <w:rPr>
                <w:color w:val="auto"/>
              </w:rPr>
            </w:pPr>
            <w:r>
              <w:rPr>
                <w:rFonts w:ascii="Times New Roman" w:hAnsi="Times New Roman"/>
                <w:color w:val="auto"/>
                <w:sz w:val="18"/>
              </w:rPr>
              <w:t>Categorical</w:t>
            </w:r>
          </w:p>
        </w:tc>
        <w:tc>
          <w:tcPr>
            <w:tcW w:w="1440" w:type="dxa"/>
            <w:shd w:val="clear" w:color="auto" w:fill="FFFFFF"/>
          </w:tcPr>
          <w:p w14:paraId="089BEC9A">
            <w:pPr>
              <w:spacing w:before="60" w:after="60" w:line="276" w:lineRule="auto"/>
              <w:jc w:val="left"/>
              <w:rPr>
                <w:color w:val="auto"/>
              </w:rPr>
            </w:pPr>
            <w:r>
              <w:rPr>
                <w:rFonts w:ascii="Times New Roman" w:hAnsi="Times New Roman"/>
                <w:color w:val="auto"/>
                <w:sz w:val="18"/>
              </w:rPr>
              <w:t>services</w:t>
            </w:r>
          </w:p>
        </w:tc>
        <w:tc>
          <w:tcPr>
            <w:tcW w:w="1449" w:type="dxa"/>
            <w:shd w:val="clear" w:color="auto" w:fill="FFFFFF"/>
          </w:tcPr>
          <w:p w14:paraId="35C6B92E">
            <w:pPr>
              <w:spacing w:before="60" w:after="60" w:line="276" w:lineRule="auto"/>
              <w:jc w:val="left"/>
              <w:rPr>
                <w:color w:val="auto"/>
              </w:rPr>
            </w:pPr>
            <w:r>
              <w:rPr>
                <w:rFonts w:ascii="Times New Roman" w:hAnsi="Times New Roman"/>
                <w:color w:val="auto"/>
                <w:sz w:val="18"/>
              </w:rPr>
              <w:t>One-Hot Encoding</w:t>
            </w:r>
          </w:p>
        </w:tc>
        <w:tc>
          <w:tcPr>
            <w:tcW w:w="651" w:type="dxa"/>
            <w:shd w:val="clear" w:color="auto" w:fill="FFFFFF"/>
          </w:tcPr>
          <w:p w14:paraId="7D23609F">
            <w:pPr>
              <w:spacing w:before="60" w:after="60" w:line="276" w:lineRule="auto"/>
              <w:jc w:val="center"/>
              <w:rPr>
                <w:color w:val="auto"/>
              </w:rPr>
            </w:pPr>
            <w:r>
              <w:rPr>
                <w:rFonts w:ascii="Times New Roman" w:hAnsi="Times New Roman"/>
                <w:color w:val="auto"/>
                <w:sz w:val="18"/>
              </w:rPr>
              <w:t>Có</w:t>
            </w:r>
          </w:p>
        </w:tc>
        <w:tc>
          <w:tcPr>
            <w:tcW w:w="1868" w:type="dxa"/>
            <w:shd w:val="clear" w:color="auto" w:fill="FFFFFF"/>
          </w:tcPr>
          <w:p w14:paraId="07E6086E">
            <w:pPr>
              <w:spacing w:before="60" w:after="60" w:line="276" w:lineRule="auto"/>
              <w:jc w:val="left"/>
              <w:rPr>
                <w:color w:val="auto"/>
              </w:rPr>
            </w:pPr>
            <w:r>
              <w:rPr>
                <w:rFonts w:ascii="Times New Roman" w:hAnsi="Times New Roman"/>
                <w:color w:val="auto"/>
                <w:sz w:val="18"/>
              </w:rPr>
              <w:t>Feature chính. Yếu tố quyết định quy trình kỹ thuật &amp; thời lượng cơ sở.</w:t>
            </w:r>
          </w:p>
        </w:tc>
      </w:tr>
      <w:tr w14:paraId="7CD9C727">
        <w:tblPrEx>
          <w:tblCellMar>
            <w:top w:w="0" w:type="dxa"/>
            <w:left w:w="108" w:type="dxa"/>
            <w:bottom w:w="0" w:type="dxa"/>
            <w:right w:w="108" w:type="dxa"/>
          </w:tblCellMar>
        </w:tblPrEx>
        <w:trPr>
          <w:jc w:val="center"/>
        </w:trPr>
        <w:tc>
          <w:tcPr>
            <w:tcW w:w="733" w:type="dxa"/>
            <w:shd w:val="clear" w:color="auto" w:fill="F9FAFC"/>
          </w:tcPr>
          <w:p w14:paraId="47067465">
            <w:pPr>
              <w:spacing w:before="60" w:after="60" w:line="276" w:lineRule="auto"/>
              <w:jc w:val="center"/>
              <w:rPr>
                <w:color w:val="auto"/>
              </w:rPr>
            </w:pPr>
            <w:r>
              <w:rPr>
                <w:rFonts w:ascii="Times New Roman" w:hAnsi="Times New Roman"/>
                <w:color w:val="auto"/>
                <w:sz w:val="18"/>
              </w:rPr>
              <w:t>2</w:t>
            </w:r>
          </w:p>
        </w:tc>
        <w:tc>
          <w:tcPr>
            <w:tcW w:w="1618" w:type="dxa"/>
            <w:shd w:val="clear" w:color="auto" w:fill="F9FAFC"/>
          </w:tcPr>
          <w:p w14:paraId="09FB3E24">
            <w:pPr>
              <w:spacing w:before="60" w:after="60" w:line="276" w:lineRule="auto"/>
              <w:jc w:val="left"/>
              <w:rPr>
                <w:color w:val="auto"/>
              </w:rPr>
            </w:pPr>
            <w:r>
              <w:rPr>
                <w:rFonts w:ascii="Times New Roman" w:hAnsi="Times New Roman"/>
                <w:b/>
                <w:color w:val="auto"/>
                <w:sz w:val="18"/>
              </w:rPr>
              <w:t>default_duration</w:t>
            </w:r>
          </w:p>
        </w:tc>
        <w:tc>
          <w:tcPr>
            <w:tcW w:w="1313" w:type="dxa"/>
            <w:shd w:val="clear" w:color="auto" w:fill="F9FAFC"/>
          </w:tcPr>
          <w:p w14:paraId="29B0B4C7">
            <w:pPr>
              <w:spacing w:before="60" w:after="60" w:line="276" w:lineRule="auto"/>
              <w:jc w:val="center"/>
              <w:rPr>
                <w:color w:val="auto"/>
              </w:rPr>
            </w:pPr>
            <w:r>
              <w:rPr>
                <w:rFonts w:ascii="Times New Roman" w:hAnsi="Times New Roman"/>
                <w:color w:val="auto"/>
                <w:sz w:val="18"/>
              </w:rPr>
              <w:t>Continuous</w:t>
            </w:r>
          </w:p>
        </w:tc>
        <w:tc>
          <w:tcPr>
            <w:tcW w:w="1440" w:type="dxa"/>
            <w:shd w:val="clear" w:color="auto" w:fill="F9FAFC"/>
          </w:tcPr>
          <w:p w14:paraId="7E8C3F07">
            <w:pPr>
              <w:spacing w:before="60" w:after="60" w:line="276" w:lineRule="auto"/>
              <w:jc w:val="left"/>
              <w:rPr>
                <w:color w:val="auto"/>
              </w:rPr>
            </w:pPr>
            <w:r>
              <w:rPr>
                <w:rFonts w:ascii="Times New Roman" w:hAnsi="Times New Roman"/>
                <w:color w:val="auto"/>
                <w:sz w:val="18"/>
              </w:rPr>
              <w:t>services</w:t>
            </w:r>
          </w:p>
        </w:tc>
        <w:tc>
          <w:tcPr>
            <w:tcW w:w="1449" w:type="dxa"/>
            <w:shd w:val="clear" w:color="auto" w:fill="F9FAFC"/>
          </w:tcPr>
          <w:p w14:paraId="507F4839">
            <w:pPr>
              <w:spacing w:before="60" w:after="60" w:line="276" w:lineRule="auto"/>
              <w:jc w:val="left"/>
              <w:rPr>
                <w:color w:val="auto"/>
              </w:rPr>
            </w:pPr>
            <w:r>
              <w:rPr>
                <w:rFonts w:ascii="Times New Roman" w:hAnsi="Times New Roman"/>
                <w:color w:val="auto"/>
                <w:sz w:val="18"/>
              </w:rPr>
              <w:t>StandardScaler</w:t>
            </w:r>
          </w:p>
        </w:tc>
        <w:tc>
          <w:tcPr>
            <w:tcW w:w="651" w:type="dxa"/>
            <w:shd w:val="clear" w:color="auto" w:fill="F9FAFC"/>
          </w:tcPr>
          <w:p w14:paraId="7D69E724">
            <w:pPr>
              <w:spacing w:before="60" w:after="60" w:line="276" w:lineRule="auto"/>
              <w:jc w:val="center"/>
              <w:rPr>
                <w:color w:val="auto"/>
              </w:rPr>
            </w:pPr>
            <w:r>
              <w:rPr>
                <w:rFonts w:ascii="Times New Roman" w:hAnsi="Times New Roman"/>
                <w:color w:val="auto"/>
                <w:sz w:val="18"/>
              </w:rPr>
              <w:t>Có</w:t>
            </w:r>
          </w:p>
        </w:tc>
        <w:tc>
          <w:tcPr>
            <w:tcW w:w="1868" w:type="dxa"/>
            <w:shd w:val="clear" w:color="auto" w:fill="F9FAFC"/>
          </w:tcPr>
          <w:p w14:paraId="334393EA">
            <w:pPr>
              <w:spacing w:before="60" w:after="60" w:line="276" w:lineRule="auto"/>
              <w:jc w:val="left"/>
              <w:rPr>
                <w:color w:val="auto"/>
              </w:rPr>
            </w:pPr>
            <w:r>
              <w:rPr>
                <w:rFonts w:ascii="Times New Roman" w:hAnsi="Times New Roman"/>
                <w:color w:val="auto"/>
                <w:sz w:val="18"/>
              </w:rPr>
              <w:t>Feature baseline. Thời lượng định mức chuẩn quy định trong danh mục.</w:t>
            </w:r>
          </w:p>
        </w:tc>
      </w:tr>
      <w:tr w14:paraId="4834ADA4">
        <w:tblPrEx>
          <w:tblCellMar>
            <w:top w:w="0" w:type="dxa"/>
            <w:left w:w="108" w:type="dxa"/>
            <w:bottom w:w="0" w:type="dxa"/>
            <w:right w:w="108" w:type="dxa"/>
          </w:tblCellMar>
        </w:tblPrEx>
        <w:trPr>
          <w:jc w:val="center"/>
        </w:trPr>
        <w:tc>
          <w:tcPr>
            <w:tcW w:w="733" w:type="dxa"/>
            <w:shd w:val="clear" w:color="auto" w:fill="FFFFFF"/>
          </w:tcPr>
          <w:p w14:paraId="574E5AB4">
            <w:pPr>
              <w:spacing w:before="60" w:after="60" w:line="276" w:lineRule="auto"/>
              <w:jc w:val="center"/>
              <w:rPr>
                <w:rFonts w:hint="default"/>
                <w:color w:val="auto"/>
                <w:lang w:val="en-US"/>
              </w:rPr>
            </w:pPr>
            <w:r>
              <w:rPr>
                <w:rFonts w:hint="default"/>
                <w:color w:val="auto"/>
                <w:lang w:val="en-US"/>
              </w:rPr>
              <w:t>3</w:t>
            </w:r>
          </w:p>
        </w:tc>
        <w:tc>
          <w:tcPr>
            <w:tcW w:w="1618" w:type="dxa"/>
            <w:shd w:val="clear" w:color="auto" w:fill="FFFFFF"/>
          </w:tcPr>
          <w:p w14:paraId="344F47DD">
            <w:pPr>
              <w:spacing w:before="60" w:after="60" w:line="276" w:lineRule="auto"/>
              <w:jc w:val="left"/>
              <w:rPr>
                <w:color w:val="auto"/>
              </w:rPr>
            </w:pPr>
            <w:r>
              <w:rPr>
                <w:rFonts w:ascii="Times New Roman" w:hAnsi="Times New Roman"/>
                <w:b/>
                <w:color w:val="auto"/>
                <w:sz w:val="18"/>
              </w:rPr>
              <w:t>district</w:t>
            </w:r>
          </w:p>
        </w:tc>
        <w:tc>
          <w:tcPr>
            <w:tcW w:w="1313" w:type="dxa"/>
            <w:shd w:val="clear" w:color="auto" w:fill="FFFFFF"/>
          </w:tcPr>
          <w:p w14:paraId="43F3DF76">
            <w:pPr>
              <w:spacing w:before="60" w:after="60" w:line="276" w:lineRule="auto"/>
              <w:jc w:val="center"/>
              <w:rPr>
                <w:color w:val="auto"/>
              </w:rPr>
            </w:pPr>
            <w:r>
              <w:rPr>
                <w:rFonts w:ascii="Times New Roman" w:hAnsi="Times New Roman"/>
                <w:color w:val="auto"/>
                <w:sz w:val="18"/>
              </w:rPr>
              <w:t>Categorical</w:t>
            </w:r>
          </w:p>
        </w:tc>
        <w:tc>
          <w:tcPr>
            <w:tcW w:w="1440" w:type="dxa"/>
            <w:shd w:val="clear" w:color="auto" w:fill="FFFFFF"/>
          </w:tcPr>
          <w:p w14:paraId="178B27DD">
            <w:pPr>
              <w:spacing w:before="60" w:after="60" w:line="276" w:lineRule="auto"/>
              <w:jc w:val="left"/>
              <w:rPr>
                <w:color w:val="auto"/>
              </w:rPr>
            </w:pPr>
            <w:r>
              <w:rPr>
                <w:rFonts w:ascii="Times New Roman" w:hAnsi="Times New Roman"/>
                <w:color w:val="auto"/>
                <w:sz w:val="18"/>
              </w:rPr>
              <w:t>service_requests</w:t>
            </w:r>
          </w:p>
        </w:tc>
        <w:tc>
          <w:tcPr>
            <w:tcW w:w="1449" w:type="dxa"/>
            <w:shd w:val="clear" w:color="auto" w:fill="FFFFFF"/>
          </w:tcPr>
          <w:p w14:paraId="132A8C8F">
            <w:pPr>
              <w:spacing w:before="60" w:after="60" w:line="276" w:lineRule="auto"/>
              <w:jc w:val="left"/>
              <w:rPr>
                <w:color w:val="auto"/>
              </w:rPr>
            </w:pPr>
            <w:r>
              <w:rPr>
                <w:rFonts w:ascii="Times New Roman" w:hAnsi="Times New Roman"/>
                <w:color w:val="auto"/>
                <w:sz w:val="18"/>
              </w:rPr>
              <w:t>Frequency / Target Encoding</w:t>
            </w:r>
          </w:p>
        </w:tc>
        <w:tc>
          <w:tcPr>
            <w:tcW w:w="651" w:type="dxa"/>
            <w:shd w:val="clear" w:color="auto" w:fill="FFFFFF"/>
          </w:tcPr>
          <w:p w14:paraId="1A14BF6D">
            <w:pPr>
              <w:spacing w:before="60" w:after="60" w:line="276" w:lineRule="auto"/>
              <w:jc w:val="center"/>
              <w:rPr>
                <w:color w:val="auto"/>
              </w:rPr>
            </w:pPr>
            <w:r>
              <w:rPr>
                <w:rFonts w:ascii="Times New Roman" w:hAnsi="Times New Roman"/>
                <w:color w:val="auto"/>
                <w:sz w:val="18"/>
              </w:rPr>
              <w:t>Có</w:t>
            </w:r>
          </w:p>
        </w:tc>
        <w:tc>
          <w:tcPr>
            <w:tcW w:w="1868" w:type="dxa"/>
            <w:shd w:val="clear" w:color="auto" w:fill="FFFFFF"/>
          </w:tcPr>
          <w:p w14:paraId="354157D1">
            <w:pPr>
              <w:spacing w:before="60" w:after="60" w:line="276" w:lineRule="auto"/>
              <w:jc w:val="left"/>
              <w:rPr>
                <w:color w:val="auto"/>
              </w:rPr>
            </w:pPr>
            <w:r>
              <w:rPr>
                <w:rFonts w:ascii="Times New Roman" w:hAnsi="Times New Roman"/>
                <w:color w:val="auto"/>
                <w:sz w:val="18"/>
              </w:rPr>
              <w:t>Feature địa lý. Mật độ dân cư &amp; đặc thù di chuyển theo khu vực.</w:t>
            </w:r>
          </w:p>
        </w:tc>
      </w:tr>
      <w:tr w14:paraId="62D0A079">
        <w:tblPrEx>
          <w:tblCellMar>
            <w:top w:w="0" w:type="dxa"/>
            <w:left w:w="108" w:type="dxa"/>
            <w:bottom w:w="0" w:type="dxa"/>
            <w:right w:w="108" w:type="dxa"/>
          </w:tblCellMar>
        </w:tblPrEx>
        <w:trPr>
          <w:jc w:val="center"/>
        </w:trPr>
        <w:tc>
          <w:tcPr>
            <w:tcW w:w="733" w:type="dxa"/>
            <w:shd w:val="clear" w:color="auto" w:fill="F9FAFC"/>
          </w:tcPr>
          <w:p w14:paraId="3BFD2BEE">
            <w:pPr>
              <w:spacing w:before="60" w:after="60" w:line="276" w:lineRule="auto"/>
              <w:jc w:val="center"/>
              <w:rPr>
                <w:rFonts w:hint="default"/>
                <w:color w:val="auto"/>
                <w:lang w:val="en-US"/>
              </w:rPr>
            </w:pPr>
            <w:r>
              <w:rPr>
                <w:rFonts w:hint="default"/>
                <w:color w:val="auto"/>
                <w:lang w:val="en-US"/>
              </w:rPr>
              <w:t>4</w:t>
            </w:r>
          </w:p>
        </w:tc>
        <w:tc>
          <w:tcPr>
            <w:tcW w:w="1618" w:type="dxa"/>
            <w:shd w:val="clear" w:color="auto" w:fill="F9FAFC"/>
          </w:tcPr>
          <w:p w14:paraId="03D6C797">
            <w:pPr>
              <w:spacing w:before="60" w:after="60" w:line="276" w:lineRule="auto"/>
              <w:jc w:val="left"/>
              <w:rPr>
                <w:color w:val="auto"/>
              </w:rPr>
            </w:pPr>
            <w:r>
              <w:rPr>
                <w:rFonts w:ascii="Times New Roman" w:hAnsi="Times New Roman"/>
                <w:b/>
                <w:color w:val="auto"/>
                <w:sz w:val="18"/>
              </w:rPr>
              <w:t>priority</w:t>
            </w:r>
          </w:p>
        </w:tc>
        <w:tc>
          <w:tcPr>
            <w:tcW w:w="1313" w:type="dxa"/>
            <w:shd w:val="clear" w:color="auto" w:fill="F9FAFC"/>
          </w:tcPr>
          <w:p w14:paraId="51E168FA">
            <w:pPr>
              <w:spacing w:before="60" w:after="60" w:line="276" w:lineRule="auto"/>
              <w:jc w:val="center"/>
              <w:rPr>
                <w:color w:val="auto"/>
              </w:rPr>
            </w:pPr>
            <w:r>
              <w:rPr>
                <w:rFonts w:ascii="Times New Roman" w:hAnsi="Times New Roman"/>
                <w:color w:val="auto"/>
                <w:sz w:val="18"/>
              </w:rPr>
              <w:t>Categorical</w:t>
            </w:r>
          </w:p>
        </w:tc>
        <w:tc>
          <w:tcPr>
            <w:tcW w:w="1440" w:type="dxa"/>
            <w:shd w:val="clear" w:color="auto" w:fill="F9FAFC"/>
          </w:tcPr>
          <w:p w14:paraId="454DC78D">
            <w:pPr>
              <w:spacing w:before="60" w:after="60" w:line="276" w:lineRule="auto"/>
              <w:jc w:val="left"/>
              <w:rPr>
                <w:color w:val="auto"/>
              </w:rPr>
            </w:pPr>
            <w:r>
              <w:rPr>
                <w:rFonts w:ascii="Times New Roman" w:hAnsi="Times New Roman"/>
                <w:color w:val="auto"/>
                <w:sz w:val="18"/>
              </w:rPr>
              <w:t>service_requests</w:t>
            </w:r>
          </w:p>
        </w:tc>
        <w:tc>
          <w:tcPr>
            <w:tcW w:w="1449" w:type="dxa"/>
            <w:shd w:val="clear" w:color="auto" w:fill="F9FAFC"/>
          </w:tcPr>
          <w:p w14:paraId="1AE9C05E">
            <w:pPr>
              <w:spacing w:before="60" w:after="60" w:line="276" w:lineRule="auto"/>
              <w:jc w:val="left"/>
              <w:rPr>
                <w:color w:val="auto"/>
              </w:rPr>
            </w:pPr>
            <w:r>
              <w:rPr>
                <w:rFonts w:ascii="Times New Roman" w:hAnsi="Times New Roman"/>
                <w:color w:val="auto"/>
                <w:sz w:val="18"/>
              </w:rPr>
              <w:t>Ordinal Encoding (1-4)</w:t>
            </w:r>
          </w:p>
        </w:tc>
        <w:tc>
          <w:tcPr>
            <w:tcW w:w="651" w:type="dxa"/>
            <w:shd w:val="clear" w:color="auto" w:fill="F9FAFC"/>
          </w:tcPr>
          <w:p w14:paraId="64A628F0">
            <w:pPr>
              <w:spacing w:before="60" w:after="60" w:line="276" w:lineRule="auto"/>
              <w:jc w:val="center"/>
              <w:rPr>
                <w:color w:val="auto"/>
              </w:rPr>
            </w:pPr>
            <w:r>
              <w:rPr>
                <w:rFonts w:ascii="Times New Roman" w:hAnsi="Times New Roman"/>
                <w:color w:val="auto"/>
                <w:sz w:val="18"/>
              </w:rPr>
              <w:t>Có</w:t>
            </w:r>
          </w:p>
        </w:tc>
        <w:tc>
          <w:tcPr>
            <w:tcW w:w="1868" w:type="dxa"/>
            <w:shd w:val="clear" w:color="auto" w:fill="F9FAFC"/>
          </w:tcPr>
          <w:p w14:paraId="44ED4F81">
            <w:pPr>
              <w:spacing w:before="60" w:after="60" w:line="276" w:lineRule="auto"/>
              <w:jc w:val="left"/>
              <w:rPr>
                <w:color w:val="auto"/>
              </w:rPr>
            </w:pPr>
            <w:r>
              <w:rPr>
                <w:rFonts w:ascii="Times New Roman" w:hAnsi="Times New Roman"/>
                <w:color w:val="auto"/>
                <w:sz w:val="18"/>
              </w:rPr>
              <w:t>Feature nghiệp vụ. Mức ưu tiên (low, normal, high, urgent).</w:t>
            </w:r>
          </w:p>
        </w:tc>
      </w:tr>
      <w:tr w14:paraId="3E61A3A7">
        <w:tblPrEx>
          <w:tblCellMar>
            <w:top w:w="0" w:type="dxa"/>
            <w:left w:w="108" w:type="dxa"/>
            <w:bottom w:w="0" w:type="dxa"/>
            <w:right w:w="108" w:type="dxa"/>
          </w:tblCellMar>
        </w:tblPrEx>
        <w:trPr>
          <w:jc w:val="center"/>
        </w:trPr>
        <w:tc>
          <w:tcPr>
            <w:tcW w:w="733" w:type="dxa"/>
            <w:shd w:val="clear" w:color="auto" w:fill="FFFFFF"/>
          </w:tcPr>
          <w:p w14:paraId="32CC5113">
            <w:pPr>
              <w:spacing w:before="60" w:after="60" w:line="276" w:lineRule="auto"/>
              <w:jc w:val="center"/>
              <w:rPr>
                <w:rFonts w:hint="default"/>
                <w:color w:val="auto"/>
                <w:lang w:val="en-US"/>
              </w:rPr>
            </w:pPr>
            <w:r>
              <w:rPr>
                <w:rFonts w:hint="default"/>
                <w:color w:val="auto"/>
                <w:lang w:val="en-US"/>
              </w:rPr>
              <w:t>5</w:t>
            </w:r>
          </w:p>
        </w:tc>
        <w:tc>
          <w:tcPr>
            <w:tcW w:w="1618" w:type="dxa"/>
            <w:shd w:val="clear" w:color="auto" w:fill="FFFFFF"/>
          </w:tcPr>
          <w:p w14:paraId="5F32E301">
            <w:pPr>
              <w:spacing w:before="60" w:after="60" w:line="276" w:lineRule="auto"/>
              <w:jc w:val="left"/>
              <w:rPr>
                <w:color w:val="auto"/>
              </w:rPr>
            </w:pPr>
            <w:r>
              <w:rPr>
                <w:rFonts w:ascii="Times New Roman" w:hAnsi="Times New Roman"/>
                <w:b/>
                <w:color w:val="auto"/>
                <w:sz w:val="18"/>
              </w:rPr>
              <w:t>complexity_level</w:t>
            </w:r>
          </w:p>
        </w:tc>
        <w:tc>
          <w:tcPr>
            <w:tcW w:w="1313" w:type="dxa"/>
            <w:shd w:val="clear" w:color="auto" w:fill="FFFFFF"/>
          </w:tcPr>
          <w:p w14:paraId="1BAEB640">
            <w:pPr>
              <w:bidi w:val="0"/>
              <w:rPr>
                <w:rFonts w:hint="default"/>
                <w:color w:val="auto"/>
                <w:lang w:val="en-US"/>
              </w:rPr>
            </w:pPr>
            <w:r>
              <w:rPr>
                <w:rFonts w:hint="default"/>
                <w:lang w:val="en-US"/>
              </w:rPr>
              <w:t>smallint</w:t>
            </w:r>
          </w:p>
        </w:tc>
        <w:tc>
          <w:tcPr>
            <w:tcW w:w="1440" w:type="dxa"/>
            <w:shd w:val="clear" w:color="auto" w:fill="FFFFFF"/>
          </w:tcPr>
          <w:p w14:paraId="721331CA">
            <w:pPr>
              <w:spacing w:before="60" w:after="60" w:line="276" w:lineRule="auto"/>
              <w:jc w:val="left"/>
              <w:rPr>
                <w:color w:val="auto"/>
              </w:rPr>
            </w:pPr>
            <w:r>
              <w:rPr>
                <w:rFonts w:ascii="Times New Roman" w:hAnsi="Times New Roman"/>
                <w:color w:val="auto"/>
                <w:sz w:val="18"/>
              </w:rPr>
              <w:t>service_requests</w:t>
            </w:r>
          </w:p>
        </w:tc>
        <w:tc>
          <w:tcPr>
            <w:tcW w:w="1449" w:type="dxa"/>
            <w:shd w:val="clear" w:color="auto" w:fill="FFFFFF"/>
          </w:tcPr>
          <w:p w14:paraId="0477F8BE">
            <w:pPr>
              <w:spacing w:before="60" w:after="60" w:line="276" w:lineRule="auto"/>
              <w:jc w:val="left"/>
              <w:rPr>
                <w:color w:val="auto"/>
              </w:rPr>
            </w:pPr>
            <w:r>
              <w:rPr>
                <w:rFonts w:ascii="Times New Roman" w:hAnsi="Times New Roman"/>
                <w:color w:val="auto"/>
                <w:sz w:val="18"/>
              </w:rPr>
              <w:t>Ordinal Encoding (1-3)</w:t>
            </w:r>
          </w:p>
        </w:tc>
        <w:tc>
          <w:tcPr>
            <w:tcW w:w="651" w:type="dxa"/>
            <w:shd w:val="clear" w:color="auto" w:fill="FFFFFF"/>
          </w:tcPr>
          <w:p w14:paraId="38A19AEA">
            <w:pPr>
              <w:spacing w:before="60" w:after="60" w:line="276" w:lineRule="auto"/>
              <w:jc w:val="center"/>
              <w:rPr>
                <w:color w:val="auto"/>
              </w:rPr>
            </w:pPr>
            <w:r>
              <w:rPr>
                <w:rFonts w:ascii="Times New Roman" w:hAnsi="Times New Roman"/>
                <w:color w:val="auto"/>
                <w:sz w:val="18"/>
              </w:rPr>
              <w:t>Có</w:t>
            </w:r>
          </w:p>
        </w:tc>
        <w:tc>
          <w:tcPr>
            <w:tcW w:w="1868" w:type="dxa"/>
            <w:shd w:val="clear" w:color="auto" w:fill="FFFFFF"/>
          </w:tcPr>
          <w:p w14:paraId="07B9E478">
            <w:pPr>
              <w:spacing w:before="60" w:after="60" w:line="276" w:lineRule="auto"/>
              <w:jc w:val="left"/>
              <w:rPr>
                <w:color w:val="auto"/>
              </w:rPr>
            </w:pPr>
            <w:r>
              <w:rPr>
                <w:rFonts w:ascii="Times New Roman" w:hAnsi="Times New Roman"/>
                <w:color w:val="auto"/>
                <w:sz w:val="18"/>
              </w:rPr>
              <w:t>Feature mức độ. Mức độ phức tạp/phụ thuộc của ca chăm sóc.</w:t>
            </w:r>
          </w:p>
        </w:tc>
      </w:tr>
      <w:tr w14:paraId="67EA109F">
        <w:tblPrEx>
          <w:tblCellMar>
            <w:top w:w="0" w:type="dxa"/>
            <w:left w:w="108" w:type="dxa"/>
            <w:bottom w:w="0" w:type="dxa"/>
            <w:right w:w="108" w:type="dxa"/>
          </w:tblCellMar>
        </w:tblPrEx>
        <w:trPr>
          <w:jc w:val="center"/>
        </w:trPr>
        <w:tc>
          <w:tcPr>
            <w:tcW w:w="733" w:type="dxa"/>
            <w:shd w:val="clear" w:color="auto" w:fill="F9FAFC"/>
          </w:tcPr>
          <w:p w14:paraId="006981F5">
            <w:pPr>
              <w:spacing w:before="60" w:after="60" w:line="276" w:lineRule="auto"/>
              <w:jc w:val="center"/>
              <w:rPr>
                <w:rFonts w:hint="default"/>
                <w:color w:val="auto"/>
                <w:lang w:val="en-US"/>
              </w:rPr>
            </w:pPr>
            <w:r>
              <w:rPr>
                <w:rFonts w:hint="default"/>
                <w:color w:val="auto"/>
                <w:lang w:val="en-US"/>
              </w:rPr>
              <w:t>6</w:t>
            </w:r>
          </w:p>
        </w:tc>
        <w:tc>
          <w:tcPr>
            <w:tcW w:w="1618" w:type="dxa"/>
            <w:shd w:val="clear" w:color="auto" w:fill="F9FAFC"/>
          </w:tcPr>
          <w:p w14:paraId="50C7D017">
            <w:pPr>
              <w:spacing w:before="60" w:after="60" w:line="276" w:lineRule="auto"/>
              <w:jc w:val="left"/>
              <w:rPr>
                <w:color w:val="auto"/>
              </w:rPr>
            </w:pPr>
            <w:r>
              <w:rPr>
                <w:rFonts w:ascii="Times New Roman" w:hAnsi="Times New Roman"/>
                <w:b/>
                <w:color w:val="auto"/>
                <w:sz w:val="18"/>
              </w:rPr>
              <w:t>has_special_equip</w:t>
            </w:r>
          </w:p>
        </w:tc>
        <w:tc>
          <w:tcPr>
            <w:tcW w:w="1313" w:type="dxa"/>
            <w:shd w:val="clear" w:color="auto" w:fill="F9FAFC"/>
          </w:tcPr>
          <w:p w14:paraId="2574D60D">
            <w:pPr>
              <w:spacing w:before="60" w:after="60" w:line="276" w:lineRule="auto"/>
              <w:jc w:val="center"/>
              <w:rPr>
                <w:color w:val="auto"/>
              </w:rPr>
            </w:pPr>
            <w:r>
              <w:rPr>
                <w:rFonts w:ascii="Times New Roman" w:hAnsi="Times New Roman"/>
                <w:color w:val="auto"/>
                <w:sz w:val="18"/>
              </w:rPr>
              <w:t>Boolean</w:t>
            </w:r>
          </w:p>
        </w:tc>
        <w:tc>
          <w:tcPr>
            <w:tcW w:w="1440" w:type="dxa"/>
            <w:shd w:val="clear" w:color="auto" w:fill="F9FAFC"/>
          </w:tcPr>
          <w:p w14:paraId="7FAB9C37">
            <w:pPr>
              <w:spacing w:before="60" w:after="60" w:line="276" w:lineRule="auto"/>
              <w:jc w:val="left"/>
              <w:rPr>
                <w:color w:val="auto"/>
              </w:rPr>
            </w:pPr>
            <w:r>
              <w:rPr>
                <w:rFonts w:ascii="Times New Roman" w:hAnsi="Times New Roman"/>
                <w:color w:val="auto"/>
                <w:sz w:val="18"/>
              </w:rPr>
              <w:t>service_requests</w:t>
            </w:r>
          </w:p>
        </w:tc>
        <w:tc>
          <w:tcPr>
            <w:tcW w:w="1449" w:type="dxa"/>
            <w:shd w:val="clear" w:color="auto" w:fill="F9FAFC"/>
          </w:tcPr>
          <w:p w14:paraId="20DD986D">
            <w:pPr>
              <w:spacing w:before="60" w:after="60" w:line="276" w:lineRule="auto"/>
              <w:jc w:val="left"/>
              <w:rPr>
                <w:color w:val="auto"/>
              </w:rPr>
            </w:pPr>
            <w:r>
              <w:rPr>
                <w:rFonts w:ascii="Times New Roman" w:hAnsi="Times New Roman"/>
                <w:color w:val="auto"/>
                <w:sz w:val="18"/>
              </w:rPr>
              <w:t>Binary (0 / 1)</w:t>
            </w:r>
          </w:p>
        </w:tc>
        <w:tc>
          <w:tcPr>
            <w:tcW w:w="651" w:type="dxa"/>
            <w:shd w:val="clear" w:color="auto" w:fill="F9FAFC"/>
          </w:tcPr>
          <w:p w14:paraId="76807E84">
            <w:pPr>
              <w:spacing w:before="60" w:after="60" w:line="276" w:lineRule="auto"/>
              <w:jc w:val="center"/>
              <w:rPr>
                <w:color w:val="auto"/>
              </w:rPr>
            </w:pPr>
            <w:r>
              <w:rPr>
                <w:rFonts w:ascii="Times New Roman" w:hAnsi="Times New Roman"/>
                <w:color w:val="auto"/>
                <w:sz w:val="18"/>
              </w:rPr>
              <w:t>Có</w:t>
            </w:r>
          </w:p>
        </w:tc>
        <w:tc>
          <w:tcPr>
            <w:tcW w:w="1868" w:type="dxa"/>
            <w:shd w:val="clear" w:color="auto" w:fill="F9FAFC"/>
          </w:tcPr>
          <w:p w14:paraId="127430EA">
            <w:pPr>
              <w:spacing w:before="60" w:after="60" w:line="276" w:lineRule="auto"/>
              <w:jc w:val="left"/>
              <w:rPr>
                <w:color w:val="auto"/>
              </w:rPr>
            </w:pPr>
            <w:r>
              <w:rPr>
                <w:rFonts w:ascii="Times New Roman" w:hAnsi="Times New Roman"/>
                <w:color w:val="auto"/>
                <w:sz w:val="18"/>
              </w:rPr>
              <w:t>Feature kỹ thuật. Cần lắp đặt thiết bị chuyên dụng tốn thêm thời gian.</w:t>
            </w:r>
          </w:p>
        </w:tc>
      </w:tr>
      <w:tr w14:paraId="4F4EC25E">
        <w:tblPrEx>
          <w:tblCellMar>
            <w:top w:w="0" w:type="dxa"/>
            <w:left w:w="108" w:type="dxa"/>
            <w:bottom w:w="0" w:type="dxa"/>
            <w:right w:w="108" w:type="dxa"/>
          </w:tblCellMar>
        </w:tblPrEx>
        <w:trPr>
          <w:jc w:val="center"/>
        </w:trPr>
        <w:tc>
          <w:tcPr>
            <w:tcW w:w="733" w:type="dxa"/>
            <w:shd w:val="clear" w:color="auto" w:fill="FFFFFF"/>
          </w:tcPr>
          <w:p w14:paraId="541C1C6F">
            <w:pPr>
              <w:spacing w:before="60" w:after="60" w:line="276" w:lineRule="auto"/>
              <w:jc w:val="center"/>
              <w:rPr>
                <w:rFonts w:hint="default"/>
                <w:color w:val="auto"/>
                <w:lang w:val="en-US"/>
              </w:rPr>
            </w:pPr>
            <w:r>
              <w:rPr>
                <w:rFonts w:hint="default"/>
                <w:color w:val="auto"/>
                <w:lang w:val="en-US"/>
              </w:rPr>
              <w:t>7</w:t>
            </w:r>
          </w:p>
        </w:tc>
        <w:tc>
          <w:tcPr>
            <w:tcW w:w="1618" w:type="dxa"/>
            <w:shd w:val="clear" w:color="auto" w:fill="FFFFFF"/>
          </w:tcPr>
          <w:p w14:paraId="7E7411E7">
            <w:pPr>
              <w:spacing w:before="60" w:after="60" w:line="276" w:lineRule="auto"/>
              <w:jc w:val="left"/>
              <w:rPr>
                <w:color w:val="auto"/>
              </w:rPr>
            </w:pPr>
            <w:r>
              <w:rPr>
                <w:rFonts w:ascii="Times New Roman" w:hAnsi="Times New Roman"/>
                <w:b/>
                <w:color w:val="auto"/>
                <w:sz w:val="18"/>
              </w:rPr>
              <w:t>actual_duration</w:t>
            </w:r>
          </w:p>
        </w:tc>
        <w:tc>
          <w:tcPr>
            <w:tcW w:w="1313" w:type="dxa"/>
            <w:shd w:val="clear" w:color="auto" w:fill="FFFFFF"/>
          </w:tcPr>
          <w:p w14:paraId="7C0AF847">
            <w:pPr>
              <w:spacing w:before="60" w:after="60" w:line="276" w:lineRule="auto"/>
              <w:jc w:val="center"/>
              <w:rPr>
                <w:color w:val="auto"/>
              </w:rPr>
            </w:pPr>
            <w:r>
              <w:rPr>
                <w:rFonts w:ascii="Times New Roman" w:hAnsi="Times New Roman"/>
                <w:color w:val="auto"/>
                <w:sz w:val="18"/>
              </w:rPr>
              <w:t>Continuous</w:t>
            </w:r>
          </w:p>
        </w:tc>
        <w:tc>
          <w:tcPr>
            <w:tcW w:w="1440" w:type="dxa"/>
            <w:shd w:val="clear" w:color="auto" w:fill="FFFFFF"/>
          </w:tcPr>
          <w:p w14:paraId="5579EDD2">
            <w:pPr>
              <w:spacing w:before="60" w:after="60" w:line="276" w:lineRule="auto"/>
              <w:jc w:val="left"/>
              <w:rPr>
                <w:color w:val="auto"/>
              </w:rPr>
            </w:pPr>
            <w:r>
              <w:rPr>
                <w:rFonts w:ascii="Times New Roman" w:hAnsi="Times New Roman"/>
                <w:color w:val="auto"/>
                <w:sz w:val="18"/>
              </w:rPr>
              <w:t>service_results</w:t>
            </w:r>
          </w:p>
        </w:tc>
        <w:tc>
          <w:tcPr>
            <w:tcW w:w="1449" w:type="dxa"/>
            <w:shd w:val="clear" w:color="auto" w:fill="FFFFFF"/>
          </w:tcPr>
          <w:p w14:paraId="4547BC57">
            <w:pPr>
              <w:spacing w:before="60" w:after="60" w:line="276" w:lineRule="auto"/>
              <w:jc w:val="left"/>
              <w:rPr>
                <w:color w:val="auto"/>
              </w:rPr>
            </w:pPr>
            <w:r>
              <w:rPr>
                <w:rFonts w:ascii="Times New Roman" w:hAnsi="Times New Roman"/>
                <w:color w:val="auto"/>
                <w:sz w:val="18"/>
              </w:rPr>
              <w:t>Không biến đổi (Target)</w:t>
            </w:r>
          </w:p>
        </w:tc>
        <w:tc>
          <w:tcPr>
            <w:tcW w:w="651" w:type="dxa"/>
            <w:shd w:val="clear" w:color="auto" w:fill="FFFFFF"/>
          </w:tcPr>
          <w:p w14:paraId="5433B685">
            <w:pPr>
              <w:spacing w:before="60" w:after="60" w:line="276" w:lineRule="auto"/>
              <w:jc w:val="center"/>
              <w:rPr>
                <w:color w:val="auto"/>
              </w:rPr>
            </w:pPr>
            <w:r>
              <w:rPr>
                <w:rFonts w:ascii="Times New Roman" w:hAnsi="Times New Roman"/>
                <w:color w:val="auto"/>
                <w:sz w:val="18"/>
              </w:rPr>
              <w:t>Có</w:t>
            </w:r>
          </w:p>
        </w:tc>
        <w:tc>
          <w:tcPr>
            <w:tcW w:w="1868" w:type="dxa"/>
            <w:shd w:val="clear" w:color="auto" w:fill="FFFFFF"/>
          </w:tcPr>
          <w:p w14:paraId="63B35368">
            <w:pPr>
              <w:spacing w:before="60" w:after="60" w:line="276" w:lineRule="auto"/>
              <w:jc w:val="left"/>
              <w:rPr>
                <w:color w:val="auto"/>
              </w:rPr>
            </w:pPr>
            <w:r>
              <w:rPr>
                <w:rFonts w:ascii="Times New Roman" w:hAnsi="Times New Roman"/>
                <w:b/>
                <w:color w:val="auto"/>
                <w:sz w:val="18"/>
              </w:rPr>
              <w:t>TARGET (y). Thời lượng thực tế = actual_end - actual_start (phút).</w:t>
            </w:r>
          </w:p>
        </w:tc>
      </w:tr>
      <w:tr w14:paraId="66A0268A">
        <w:tblPrEx>
          <w:tblCellMar>
            <w:top w:w="0" w:type="dxa"/>
            <w:left w:w="108" w:type="dxa"/>
            <w:bottom w:w="0" w:type="dxa"/>
            <w:right w:w="108" w:type="dxa"/>
          </w:tblCellMar>
        </w:tblPrEx>
        <w:trPr>
          <w:jc w:val="center"/>
        </w:trPr>
        <w:tc>
          <w:tcPr>
            <w:tcW w:w="733" w:type="dxa"/>
            <w:shd w:val="clear" w:color="auto" w:fill="F9FAFC"/>
          </w:tcPr>
          <w:p w14:paraId="3346CA14">
            <w:pPr>
              <w:spacing w:before="60" w:after="60" w:line="276" w:lineRule="auto"/>
              <w:jc w:val="center"/>
              <w:rPr>
                <w:color w:val="auto"/>
              </w:rPr>
            </w:pPr>
            <w:r>
              <w:rPr>
                <w:rFonts w:hint="default"/>
                <w:color w:val="auto"/>
                <w:sz w:val="18"/>
                <w:lang w:val="en-US"/>
              </w:rPr>
              <w:t>8</w:t>
            </w:r>
          </w:p>
        </w:tc>
        <w:tc>
          <w:tcPr>
            <w:tcW w:w="1618" w:type="dxa"/>
            <w:shd w:val="clear" w:color="auto" w:fill="F9FAFC"/>
          </w:tcPr>
          <w:p w14:paraId="4CE87300">
            <w:pPr>
              <w:spacing w:before="60" w:after="60" w:line="276" w:lineRule="auto"/>
              <w:jc w:val="left"/>
              <w:rPr>
                <w:color w:val="auto"/>
              </w:rPr>
            </w:pPr>
            <w:r>
              <w:rPr>
                <w:rFonts w:ascii="Times New Roman" w:hAnsi="Times New Roman"/>
                <w:b/>
                <w:color w:val="auto"/>
                <w:sz w:val="18"/>
              </w:rPr>
              <w:t>employee_id</w:t>
            </w:r>
          </w:p>
        </w:tc>
        <w:tc>
          <w:tcPr>
            <w:tcW w:w="1313" w:type="dxa"/>
            <w:shd w:val="clear" w:color="auto" w:fill="F9FAFC"/>
          </w:tcPr>
          <w:p w14:paraId="34787A98">
            <w:pPr>
              <w:spacing w:before="60" w:after="60" w:line="276" w:lineRule="auto"/>
              <w:jc w:val="center"/>
              <w:rPr>
                <w:color w:val="auto"/>
              </w:rPr>
            </w:pPr>
            <w:r>
              <w:rPr>
                <w:rFonts w:ascii="Times New Roman" w:hAnsi="Times New Roman"/>
                <w:color w:val="auto"/>
                <w:sz w:val="18"/>
              </w:rPr>
              <w:t>Integer</w:t>
            </w:r>
          </w:p>
        </w:tc>
        <w:tc>
          <w:tcPr>
            <w:tcW w:w="1440" w:type="dxa"/>
            <w:shd w:val="clear" w:color="auto" w:fill="F9FAFC"/>
          </w:tcPr>
          <w:p w14:paraId="233BE6A8">
            <w:pPr>
              <w:spacing w:before="60" w:after="60" w:line="276" w:lineRule="auto"/>
              <w:jc w:val="left"/>
              <w:rPr>
                <w:color w:val="auto"/>
              </w:rPr>
            </w:pPr>
            <w:r>
              <w:rPr>
                <w:rFonts w:ascii="Times New Roman" w:hAnsi="Times New Roman"/>
                <w:color w:val="auto"/>
                <w:sz w:val="18"/>
              </w:rPr>
              <w:t>employees</w:t>
            </w:r>
          </w:p>
        </w:tc>
        <w:tc>
          <w:tcPr>
            <w:tcW w:w="1449" w:type="dxa"/>
            <w:shd w:val="clear" w:color="auto" w:fill="F9FAFC"/>
          </w:tcPr>
          <w:p w14:paraId="795C2C9B">
            <w:pPr>
              <w:spacing w:before="60" w:after="60" w:line="276" w:lineRule="auto"/>
              <w:jc w:val="left"/>
              <w:rPr>
                <w:color w:val="auto"/>
              </w:rPr>
            </w:pPr>
            <w:r>
              <w:rPr>
                <w:rFonts w:ascii="Times New Roman" w:hAnsi="Times New Roman"/>
                <w:color w:val="auto"/>
                <w:sz w:val="18"/>
              </w:rPr>
              <w:t>Loại bỏ (Excluded)</w:t>
            </w:r>
          </w:p>
        </w:tc>
        <w:tc>
          <w:tcPr>
            <w:tcW w:w="651" w:type="dxa"/>
            <w:shd w:val="clear" w:color="auto" w:fill="F9FAFC"/>
          </w:tcPr>
          <w:p w14:paraId="3EE2CD39">
            <w:pPr>
              <w:spacing w:before="60" w:after="60" w:line="276" w:lineRule="auto"/>
              <w:jc w:val="center"/>
              <w:rPr>
                <w:color w:val="auto"/>
              </w:rPr>
            </w:pPr>
            <w:r>
              <w:rPr>
                <w:rFonts w:ascii="Times New Roman" w:hAnsi="Times New Roman"/>
                <w:color w:val="auto"/>
                <w:sz w:val="18"/>
              </w:rPr>
              <w:t>Không</w:t>
            </w:r>
          </w:p>
        </w:tc>
        <w:tc>
          <w:tcPr>
            <w:tcW w:w="1868" w:type="dxa"/>
            <w:shd w:val="clear" w:color="auto" w:fill="F9FAFC"/>
          </w:tcPr>
          <w:p w14:paraId="5E2E57F0">
            <w:pPr>
              <w:spacing w:before="60" w:after="60" w:line="276" w:lineRule="auto"/>
              <w:jc w:val="left"/>
              <w:rPr>
                <w:color w:val="auto"/>
              </w:rPr>
            </w:pPr>
            <w:r>
              <w:rPr>
                <w:rFonts w:ascii="Times New Roman" w:hAnsi="Times New Roman"/>
                <w:color w:val="auto"/>
                <w:sz w:val="18"/>
              </w:rPr>
              <w:t>LOẠI BỎ (Chỉ đạo chuyên môn). Tránh biến động thời lượng dự báo theo nhân viên.</w:t>
            </w:r>
          </w:p>
        </w:tc>
      </w:tr>
      <w:tr w14:paraId="543CC8C9">
        <w:tblPrEx>
          <w:tblCellMar>
            <w:top w:w="0" w:type="dxa"/>
            <w:left w:w="108" w:type="dxa"/>
            <w:bottom w:w="0" w:type="dxa"/>
            <w:right w:w="108" w:type="dxa"/>
          </w:tblCellMar>
        </w:tblPrEx>
        <w:trPr>
          <w:jc w:val="center"/>
        </w:trPr>
        <w:tc>
          <w:tcPr>
            <w:tcW w:w="733" w:type="dxa"/>
            <w:shd w:val="clear" w:color="auto" w:fill="FFFFFF"/>
          </w:tcPr>
          <w:p w14:paraId="5C51FC27">
            <w:pPr>
              <w:spacing w:before="60" w:after="60" w:line="276" w:lineRule="auto"/>
              <w:jc w:val="center"/>
              <w:rPr>
                <w:color w:val="auto"/>
              </w:rPr>
            </w:pPr>
            <w:r>
              <w:rPr>
                <w:rFonts w:hint="default"/>
                <w:color w:val="auto"/>
                <w:sz w:val="18"/>
                <w:lang w:val="en-US"/>
              </w:rPr>
              <w:t>9</w:t>
            </w:r>
          </w:p>
        </w:tc>
        <w:tc>
          <w:tcPr>
            <w:tcW w:w="1618" w:type="dxa"/>
            <w:shd w:val="clear" w:color="auto" w:fill="FFFFFF"/>
          </w:tcPr>
          <w:p w14:paraId="7675F52B">
            <w:pPr>
              <w:spacing w:before="60" w:after="60" w:line="276" w:lineRule="auto"/>
              <w:jc w:val="left"/>
              <w:rPr>
                <w:color w:val="auto"/>
              </w:rPr>
            </w:pPr>
            <w:r>
              <w:rPr>
                <w:rFonts w:ascii="Times New Roman" w:hAnsi="Times New Roman"/>
                <w:b/>
                <w:color w:val="auto"/>
                <w:sz w:val="18"/>
              </w:rPr>
              <w:t>actual_start / end</w:t>
            </w:r>
          </w:p>
        </w:tc>
        <w:tc>
          <w:tcPr>
            <w:tcW w:w="1313" w:type="dxa"/>
            <w:shd w:val="clear" w:color="auto" w:fill="FFFFFF"/>
          </w:tcPr>
          <w:p w14:paraId="4FCD9605">
            <w:pPr>
              <w:spacing w:before="60" w:after="60" w:line="276" w:lineRule="auto"/>
              <w:jc w:val="center"/>
              <w:rPr>
                <w:color w:val="auto"/>
              </w:rPr>
            </w:pPr>
            <w:r>
              <w:rPr>
                <w:rFonts w:ascii="Times New Roman" w:hAnsi="Times New Roman"/>
                <w:color w:val="auto"/>
                <w:sz w:val="18"/>
              </w:rPr>
              <w:t>Timestamp</w:t>
            </w:r>
          </w:p>
        </w:tc>
        <w:tc>
          <w:tcPr>
            <w:tcW w:w="1440" w:type="dxa"/>
            <w:shd w:val="clear" w:color="auto" w:fill="FFFFFF"/>
          </w:tcPr>
          <w:p w14:paraId="10B27009">
            <w:pPr>
              <w:spacing w:before="60" w:after="60" w:line="276" w:lineRule="auto"/>
              <w:jc w:val="left"/>
              <w:rPr>
                <w:color w:val="auto"/>
              </w:rPr>
            </w:pPr>
            <w:r>
              <w:rPr>
                <w:rFonts w:ascii="Times New Roman" w:hAnsi="Times New Roman"/>
                <w:color w:val="auto"/>
                <w:sz w:val="18"/>
              </w:rPr>
              <w:t>service_results</w:t>
            </w:r>
          </w:p>
        </w:tc>
        <w:tc>
          <w:tcPr>
            <w:tcW w:w="1449" w:type="dxa"/>
            <w:shd w:val="clear" w:color="auto" w:fill="FFFFFF"/>
          </w:tcPr>
          <w:p w14:paraId="3C85EB69">
            <w:pPr>
              <w:spacing w:before="60" w:after="60" w:line="276" w:lineRule="auto"/>
              <w:jc w:val="left"/>
              <w:rPr>
                <w:color w:val="auto"/>
              </w:rPr>
            </w:pPr>
            <w:r>
              <w:rPr>
                <w:rFonts w:ascii="Times New Roman" w:hAnsi="Times New Roman"/>
                <w:color w:val="auto"/>
                <w:sz w:val="18"/>
              </w:rPr>
              <w:t>Loại bỏ (Data Leakage)</w:t>
            </w:r>
          </w:p>
        </w:tc>
        <w:tc>
          <w:tcPr>
            <w:tcW w:w="651" w:type="dxa"/>
            <w:shd w:val="clear" w:color="auto" w:fill="FFFFFF"/>
          </w:tcPr>
          <w:p w14:paraId="14B202A6">
            <w:pPr>
              <w:spacing w:before="60" w:after="60" w:line="276" w:lineRule="auto"/>
              <w:jc w:val="center"/>
              <w:rPr>
                <w:color w:val="auto"/>
              </w:rPr>
            </w:pPr>
            <w:r>
              <w:rPr>
                <w:rFonts w:ascii="Times New Roman" w:hAnsi="Times New Roman"/>
                <w:color w:val="auto"/>
                <w:sz w:val="18"/>
              </w:rPr>
              <w:t>Không</w:t>
            </w:r>
          </w:p>
        </w:tc>
        <w:tc>
          <w:tcPr>
            <w:tcW w:w="1868" w:type="dxa"/>
            <w:shd w:val="clear" w:color="auto" w:fill="FFFFFF"/>
          </w:tcPr>
          <w:p w14:paraId="176C6CDB">
            <w:pPr>
              <w:spacing w:before="60" w:after="60" w:line="276" w:lineRule="auto"/>
              <w:jc w:val="left"/>
              <w:rPr>
                <w:color w:val="auto"/>
              </w:rPr>
            </w:pPr>
            <w:r>
              <w:rPr>
                <w:rFonts w:ascii="Times New Roman" w:hAnsi="Times New Roman"/>
                <w:color w:val="auto"/>
                <w:sz w:val="18"/>
              </w:rPr>
              <w:t>LOẠI BỎ. Thông tin chỉ xuất hiện sau khi hoàn thành thăm khám.</w:t>
            </w:r>
          </w:p>
        </w:tc>
      </w:tr>
    </w:tbl>
    <w:p w14:paraId="2C438C23">
      <w:pPr>
        <w:spacing w:after="120"/>
        <w:rPr>
          <w:color w:val="auto"/>
        </w:rPr>
      </w:pPr>
    </w:p>
    <w:p w14:paraId="27FD0652">
      <w:pPr>
        <w:pStyle w:val="2"/>
        <w:keepNext/>
        <w:spacing w:before="320" w:after="120"/>
        <w:rPr>
          <w:color w:val="auto"/>
        </w:rPr>
      </w:pPr>
      <w:r>
        <w:rPr>
          <w:rFonts w:ascii="Times New Roman" w:hAnsi="Times New Roman"/>
          <w:b/>
          <w:color w:val="auto"/>
          <w:sz w:val="30"/>
        </w:rPr>
        <w:t>4. QUY TRÌNH TIỀN XỬ LÝ VÀ PIPELINE DỮ LIỆU (DATA PIPELINE)</w:t>
      </w:r>
    </w:p>
    <w:p w14:paraId="5967C9F3">
      <w:pPr>
        <w:pStyle w:val="3"/>
        <w:keepNext/>
        <w:spacing w:before="240" w:after="80"/>
        <w:rPr>
          <w:color w:val="auto"/>
        </w:rPr>
      </w:pPr>
      <w:r>
        <w:rPr>
          <w:rFonts w:ascii="Times New Roman" w:hAnsi="Times New Roman"/>
          <w:b/>
          <w:color w:val="auto"/>
          <w:sz w:val="27"/>
        </w:rPr>
        <w:t>4.1. Xử lý giá trị thiếu (Missing Values Imputation)</w:t>
      </w:r>
    </w:p>
    <w:p w14:paraId="59BD110D">
      <w:pPr>
        <w:numPr>
          <w:ilvl w:val="0"/>
          <w:numId w:val="7"/>
        </w:numPr>
        <w:bidi w:val="0"/>
      </w:pPr>
      <w:r>
        <w:t>Biến định lượng (</w:t>
      </w:r>
      <w:r>
        <w:rPr>
          <w:rFonts w:hint="default"/>
        </w:rPr>
        <w:t xml:space="preserve"> default_duration ): Trong CSDL v2.2, cột </w:t>
      </w:r>
      <w:r>
        <w:t>services.default_duration</w:t>
      </w:r>
      <w:r>
        <w:rPr>
          <w:rFonts w:hint="default"/>
        </w:rPr>
        <w:t xml:space="preserve"> là thuộc tính bắt buộc (NOT NULL). Do đó, trên hệ thống vận hành không phát sinh dữ liệu thiếu. Thao tác điền giá trị thiếu bằng trung vị (Median) theo nhóm service_id chỉ áp dụng khi xử lý các tệp dữ liệu lịch sử thô (raw CSV) nhập từ bên ngoài nếu bị khuyết bản ghi.</w:t>
      </w:r>
    </w:p>
    <w:p w14:paraId="0B5EC14D">
      <w:pPr>
        <w:numPr>
          <w:ilvl w:val="0"/>
          <w:numId w:val="7"/>
        </w:numPr>
        <w:bidi w:val="0"/>
      </w:pPr>
      <w:r>
        <w:rPr>
          <w:rFonts w:hint="default"/>
        </w:rPr>
        <w:t>Biến định tính ( district_code , complexity_level , priority ):</w:t>
      </w:r>
    </w:p>
    <w:p w14:paraId="34AA134D">
      <w:pPr>
        <w:numPr>
          <w:ilvl w:val="1"/>
          <w:numId w:val="7"/>
        </w:numPr>
        <w:bidi w:val="0"/>
        <w:ind w:left="1440" w:leftChars="0" w:hanging="360" w:firstLineChars="0"/>
      </w:pPr>
      <w:r>
        <w:rPr>
          <w:rFonts w:hint="default"/>
        </w:rPr>
        <w:t>district_code: Nếu khuyết thông tin do lỗi Geocoding, hệ thống tự động điền bằng mã quận/huyện mặc định thuộc khu vực trung tâm (ví dụ: 'NT_LOC_THO').</w:t>
      </w:r>
    </w:p>
    <w:p w14:paraId="254921FB">
      <w:pPr>
        <w:numPr>
          <w:ilvl w:val="1"/>
          <w:numId w:val="7"/>
        </w:numPr>
        <w:bidi w:val="0"/>
        <w:ind w:left="1440" w:leftChars="0" w:hanging="360" w:firstLineChars="0"/>
      </w:pPr>
      <w:r>
        <w:rPr>
          <w:rFonts w:hint="default"/>
        </w:rPr>
        <w:t>complexity_level: Trường bắt buộc có giá trị mặc định là 2 (Normal) theo thang đo Ordinal (1–3).</w:t>
      </w:r>
    </w:p>
    <w:p w14:paraId="0AFB9A16">
      <w:pPr>
        <w:numPr>
          <w:ilvl w:val="1"/>
          <w:numId w:val="7"/>
        </w:numPr>
        <w:bidi w:val="0"/>
        <w:ind w:left="1440" w:leftChars="0" w:hanging="360" w:firstLineChars="0"/>
      </w:pPr>
      <w:r>
        <w:rPr>
          <w:rFonts w:hint="default"/>
        </w:rPr>
        <w:t>priority: Trường bắt buộc có giá trị mặc định là 2 (Normal) theo thang đo Ordinal (1–5).</w:t>
      </w:r>
    </w:p>
    <w:p w14:paraId="084223C0">
      <w:pPr>
        <w:pStyle w:val="3"/>
        <w:keepNext/>
        <w:spacing w:before="240" w:after="80"/>
        <w:rPr>
          <w:color w:val="auto"/>
        </w:rPr>
      </w:pPr>
      <w:r>
        <w:rPr>
          <w:rFonts w:ascii="Times New Roman" w:hAnsi="Times New Roman"/>
          <w:b/>
          <w:color w:val="auto"/>
          <w:sz w:val="27"/>
        </w:rPr>
        <w:t>4.2. Mã hóa và Biến đổi Đặc trưng (Feature Engineering &amp; Encoding)</w:t>
      </w:r>
    </w:p>
    <w:p w14:paraId="6C504849">
      <w:pPr>
        <w:bidi w:val="0"/>
      </w:pPr>
      <w:r>
        <w:rPr>
          <w:rFonts w:hint="default" w:ascii="Symbol" w:hAnsi="Symbol" w:eastAsia="Symbol" w:cs="Symbol"/>
        </w:rPr>
        <w:t>·</w:t>
      </w:r>
      <w:r>
        <w:rPr>
          <w:rFonts w:hint="eastAsia" w:ascii="SimSun" w:hAnsi="SimSun" w:eastAsia="SimSun" w:cs="SimSun"/>
        </w:rPr>
        <w:t xml:space="preserve">  </w:t>
      </w:r>
      <w:r>
        <w:t>Đặc trưng Dẫn xuất Thời gian (Derived Features): Các thuộc tính preferred_start_hour và day_of_week được sinh tự động từ mốc thời gian gốc preferred_start (TIMESTAMPTZ), không lưu thành cột vật lý trong CSDL.</w:t>
      </w:r>
    </w:p>
    <w:p w14:paraId="26081F4F">
      <w:pPr>
        <w:bidi w:val="0"/>
        <w:ind w:firstLine="720" w:firstLineChars="0"/>
      </w:pPr>
      <w:r>
        <w:t xml:space="preserve">Cyclical Encoding: Biến đổi preferred_start_hour (0–23h) bằng hàm lượng giác để giữ tính tuần hoàn (23h liền kề 0h): </w:t>
      </w:r>
    </w:p>
    <w:p w14:paraId="47E707C3">
      <w:pPr>
        <w:bidi w:val="0"/>
        <w:rPr>
          <w:rFonts w:hint="default"/>
          <w:lang w:val="en-US"/>
        </w:rPr>
      </w:pPr>
      <m:oMathPara>
        <m:oMath>
          <m:sSub>
            <m:sSubPr>
              <m:ctrlPr>
                <w:rPr>
                  <w:rFonts w:ascii="Cambria Math" w:hAnsi="Cambria Math"/>
                  <w:i/>
                  <w:lang w:val="en-US"/>
                </w:rPr>
              </m:ctrlPr>
            </m:sSubPr>
            <m:e>
              <m:r>
                <m:rPr/>
                <w:rPr>
                  <w:rFonts w:hint="default" w:ascii="Cambria Math" w:hAnsi="Cambria Math"/>
                  <w:lang w:val="en-US"/>
                </w:rPr>
                <m:t>x</m:t>
              </m:r>
              <m:ctrlPr>
                <w:rPr>
                  <w:rFonts w:ascii="Cambria Math" w:hAnsi="Cambria Math"/>
                  <w:i/>
                  <w:lang w:val="en-US"/>
                </w:rPr>
              </m:ctrlPr>
            </m:e>
            <m:sub>
              <m:r>
                <m:rPr/>
                <w:rPr>
                  <w:rFonts w:hint="default" w:ascii="Cambria Math" w:hAnsi="Cambria Math"/>
                  <w:lang w:val="en-US"/>
                </w:rPr>
                <m:t>sin</m:t>
              </m:r>
              <m:ctrlPr>
                <w:rPr>
                  <w:rFonts w:ascii="Cambria Math" w:hAnsi="Cambria Math"/>
                  <w:i/>
                  <w:lang w:val="en-US"/>
                </w:rPr>
              </m:ctrlPr>
            </m:sub>
          </m:sSub>
          <m:r>
            <m:rPr/>
            <w:rPr>
              <w:rFonts w:hint="default" w:ascii="Cambria Math" w:hAnsi="Cambria Math"/>
              <w:lang w:val="en-US"/>
            </w:rPr>
            <m:t>= sin(</m:t>
          </m:r>
          <m:f>
            <m:fPr>
              <m:ctrlPr>
                <m:rPr/>
                <w:rPr>
                  <w:rFonts w:hint="default" w:ascii="Cambria Math" w:hAnsi="Cambria Math"/>
                  <w:i/>
                  <w:lang w:val="en-US"/>
                </w:rPr>
              </m:ctrlPr>
            </m:fPr>
            <m:num>
              <m:r>
                <m:rPr/>
                <w:rPr>
                  <w:rFonts w:hint="default" w:ascii="Cambria Math" w:hAnsi="Cambria Math"/>
                  <w:lang w:val="en-US"/>
                </w:rPr>
                <m:t>2</m:t>
              </m:r>
              <m:r>
                <m:rPr/>
                <w:rPr>
                  <w:rFonts w:ascii="Cambria Math" w:hAnsi="Cambria Math"/>
                  <w:lang w:val="en-US"/>
                </w:rPr>
                <m:t>π</m:t>
              </m:r>
              <m:r>
                <m:rPr/>
                <w:rPr>
                  <w:rFonts w:hint="default" w:ascii="Cambria Math" w:hAnsi="Cambria Math"/>
                  <w:lang w:val="en-US"/>
                </w:rPr>
                <m:t xml:space="preserve"> </m:t>
              </m:r>
              <m:r>
                <m:rPr/>
                <w:rPr>
                  <w:rFonts w:ascii="Cambria Math" w:hAnsi="Cambria Math"/>
                  <w:lang w:val="en-US"/>
                </w:rPr>
                <m:t>×</m:t>
              </m:r>
              <m:r>
                <m:rPr/>
                <w:rPr>
                  <w:rFonts w:hint="default" w:ascii="Cambria Math" w:hAnsi="Cambria Math"/>
                  <w:lang w:val="en-US"/>
                </w:rPr>
                <m:t xml:space="preserve"> hour</m:t>
              </m:r>
              <m:ctrlPr>
                <m:rPr/>
                <w:rPr>
                  <w:rFonts w:hint="default" w:ascii="Cambria Math" w:hAnsi="Cambria Math"/>
                  <w:i/>
                  <w:lang w:val="en-US"/>
                </w:rPr>
              </m:ctrlPr>
            </m:num>
            <m:den>
              <m:r>
                <m:rPr/>
                <w:rPr>
                  <w:rFonts w:hint="default" w:ascii="Cambria Math" w:hAnsi="Cambria Math"/>
                  <w:lang w:val="en-US"/>
                </w:rPr>
                <m:t>24</m:t>
              </m:r>
              <m:ctrlPr>
                <m:rPr/>
                <w:rPr>
                  <w:rFonts w:hint="default" w:ascii="Cambria Math" w:hAnsi="Cambria Math"/>
                  <w:i/>
                  <w:lang w:val="en-US"/>
                </w:rPr>
              </m:ctrlPr>
            </m:den>
          </m:f>
          <m:r>
            <m:rPr/>
            <w:rPr>
              <w:rFonts w:hint="default" w:ascii="Cambria Math" w:hAnsi="Cambria Math"/>
              <w:lang w:val="en-US"/>
            </w:rPr>
            <m:t xml:space="preserve">) và </m:t>
          </m:r>
          <m:sSub>
            <m:sSubPr>
              <m:ctrlPr>
                <w:rPr>
                  <w:rFonts w:ascii="Cambria Math" w:hAnsi="Cambria Math"/>
                  <w:i/>
                  <w:lang w:val="en-US"/>
                </w:rPr>
              </m:ctrlPr>
            </m:sSubPr>
            <m:e>
              <m:r>
                <m:rPr/>
                <w:rPr>
                  <w:rFonts w:hint="default" w:ascii="Cambria Math" w:hAnsi="Cambria Math"/>
                  <w:lang w:val="en-US"/>
                </w:rPr>
                <m:t>x</m:t>
              </m:r>
              <m:ctrlPr>
                <w:rPr>
                  <w:rFonts w:ascii="Cambria Math" w:hAnsi="Cambria Math"/>
                  <w:i/>
                  <w:lang w:val="en-US"/>
                </w:rPr>
              </m:ctrlPr>
            </m:e>
            <m:sub>
              <m:r>
                <m:rPr/>
                <w:rPr>
                  <w:rFonts w:hint="default" w:ascii="Cambria Math" w:hAnsi="Cambria Math"/>
                  <w:lang w:val="en-US"/>
                </w:rPr>
                <m:t>cos</m:t>
              </m:r>
              <m:ctrlPr>
                <w:rPr>
                  <w:rFonts w:ascii="Cambria Math" w:hAnsi="Cambria Math"/>
                  <w:i/>
                  <w:lang w:val="en-US"/>
                </w:rPr>
              </m:ctrlPr>
            </m:sub>
          </m:sSub>
          <m:r>
            <m:rPr/>
            <w:rPr>
              <w:rFonts w:hint="default" w:ascii="Cambria Math" w:hAnsi="Cambria Math"/>
              <w:lang w:val="en-US"/>
            </w:rPr>
            <m:t>= cos(</m:t>
          </m:r>
          <m:f>
            <m:fPr>
              <m:ctrlPr>
                <w:rPr>
                  <w:rFonts w:hint="default" w:ascii="Cambria Math" w:hAnsi="Cambria Math"/>
                  <w:i/>
                  <w:lang w:val="en-US"/>
                </w:rPr>
              </m:ctrlPr>
            </m:fPr>
            <m:num>
              <m:r>
                <m:rPr/>
                <w:rPr>
                  <w:rFonts w:hint="default" w:ascii="Cambria Math" w:hAnsi="Cambria Math"/>
                  <w:lang w:val="en-US"/>
                </w:rPr>
                <m:t>2</m:t>
              </m:r>
              <m:r>
                <m:rPr/>
                <w:rPr>
                  <w:rFonts w:ascii="Cambria Math" w:hAnsi="Cambria Math"/>
                  <w:lang w:val="en-US"/>
                </w:rPr>
                <m:t>π</m:t>
              </m:r>
              <m:r>
                <m:rPr/>
                <w:rPr>
                  <w:rFonts w:hint="default" w:ascii="Cambria Math" w:hAnsi="Cambria Math"/>
                  <w:lang w:val="en-US"/>
                </w:rPr>
                <m:t xml:space="preserve"> </m:t>
              </m:r>
              <m:r>
                <m:rPr/>
                <w:rPr>
                  <w:rFonts w:ascii="Cambria Math" w:hAnsi="Cambria Math"/>
                  <w:lang w:val="en-US"/>
                </w:rPr>
                <m:t>×</m:t>
              </m:r>
              <m:r>
                <m:rPr/>
                <w:rPr>
                  <w:rFonts w:hint="default" w:ascii="Cambria Math" w:hAnsi="Cambria Math"/>
                  <w:lang w:val="en-US"/>
                </w:rPr>
                <m:t xml:space="preserve"> hour</m:t>
              </m:r>
              <m:ctrlPr>
                <w:rPr>
                  <w:rFonts w:hint="default" w:ascii="Cambria Math" w:hAnsi="Cambria Math"/>
                  <w:i/>
                  <w:lang w:val="en-US"/>
                </w:rPr>
              </m:ctrlPr>
            </m:num>
            <m:den>
              <m:r>
                <m:rPr/>
                <w:rPr>
                  <w:rFonts w:hint="default" w:ascii="Cambria Math" w:hAnsi="Cambria Math"/>
                  <w:lang w:val="en-US"/>
                </w:rPr>
                <m:t>24</m:t>
              </m:r>
              <m:ctrlPr>
                <w:rPr>
                  <w:rFonts w:hint="default" w:ascii="Cambria Math" w:hAnsi="Cambria Math"/>
                  <w:i/>
                  <w:lang w:val="en-US"/>
                </w:rPr>
              </m:ctrlPr>
            </m:den>
          </m:f>
          <m:r>
            <m:rPr/>
            <w:rPr>
              <w:rFonts w:hint="default" w:ascii="Cambria Math" w:hAnsi="Cambria Math"/>
              <w:lang w:val="en-US"/>
            </w:rPr>
            <m:t>)</m:t>
          </m:r>
        </m:oMath>
      </m:oMathPara>
    </w:p>
    <w:p w14:paraId="34FECA2E">
      <w:pPr>
        <w:bidi w:val="0"/>
        <w:ind w:firstLine="720" w:firstLineChars="0"/>
      </w:pPr>
      <w:r>
        <w:t>One-Hot Encoding (OHE): Áp dụng cho day_of_week (Thứ 2 đến Chủ nhật).</w:t>
      </w:r>
    </w:p>
    <w:p w14:paraId="61DF64C6">
      <w:pPr>
        <w:pStyle w:val="24"/>
        <w:bidi w:val="0"/>
        <w:ind w:left="360" w:leftChars="0" w:hanging="360" w:firstLineChars="0"/>
      </w:pPr>
      <w:r>
        <w:rPr>
          <w:rFonts w:hint="default"/>
        </w:rPr>
        <w:t>·</w:t>
      </w:r>
      <w:r>
        <w:rPr>
          <w:rFonts w:hint="eastAsia"/>
        </w:rPr>
        <w:t xml:space="preserve">  </w:t>
      </w:r>
      <w:r>
        <w:t>Mã hóa Đặc trưng Địa lý &amp; Dịch vụ (Spatial &amp; Categorical Encoding):</w:t>
      </w:r>
    </w:p>
    <w:p w14:paraId="78EF3BD5">
      <w:pPr>
        <w:pStyle w:val="24"/>
        <w:numPr>
          <w:numId w:val="0"/>
        </w:numPr>
        <w:bidi w:val="0"/>
        <w:ind w:leftChars="0"/>
      </w:pPr>
      <w:r>
        <w:rPr>
          <w:rFonts w:hint="default"/>
          <w:lang w:val="en-US"/>
        </w:rPr>
        <w:tab/>
        <w:t/>
      </w:r>
      <w:r>
        <w:rPr>
          <w:rFonts w:hint="default"/>
          <w:lang w:val="en-US"/>
        </w:rPr>
        <w:tab/>
        <w:t xml:space="preserve">-  </w:t>
      </w:r>
      <w:r>
        <w:t>district_code: Áp dụng One-Hot Encoding (OHE) trực tiếp cho danh sách quận/huyện trong phạm vi địa bàn demo (ví dụ: 5–10 khu vực tại TP. Nha Trang) để tránh hoàn toàn rủi ro rò rỉ dữ liệu (Data Leakage) so với Target Encoding.</w:t>
      </w:r>
    </w:p>
    <w:p w14:paraId="1A130211">
      <w:pPr>
        <w:bidi w:val="0"/>
        <w:ind w:firstLine="720" w:firstLineChars="0"/>
      </w:pPr>
      <w:r>
        <w:rPr>
          <w:rFonts w:hint="default"/>
          <w:lang w:val="en-US"/>
        </w:rPr>
        <w:t xml:space="preserve">-  </w:t>
      </w:r>
      <w:r>
        <w:t>service_id: Áp dụng One-Hot Encoding (OHE) cho danh mục dịch vụ.</w:t>
      </w:r>
    </w:p>
    <w:p w14:paraId="3FB088F2">
      <w:pPr>
        <w:pStyle w:val="24"/>
        <w:bidi w:val="0"/>
        <w:ind w:left="360" w:leftChars="0" w:hanging="360" w:firstLineChars="0"/>
      </w:pPr>
      <w:r>
        <w:t>Mã hóa Thứ bậc &amp; Nhị phân (Ordinal &amp; Binary Encoding):</w:t>
      </w:r>
    </w:p>
    <w:p w14:paraId="57718DC4">
      <w:pPr>
        <w:bidi w:val="0"/>
        <w:ind w:firstLine="720" w:firstLineChars="0"/>
      </w:pPr>
      <w:r>
        <w:rPr>
          <w:rFonts w:hint="default"/>
          <w:lang w:val="en-US"/>
        </w:rPr>
        <w:t xml:space="preserve">-  </w:t>
      </w:r>
      <w:r>
        <w:t xml:space="preserve">complexity_level: Ordinal Encoding theo thang đo 3 mức: </w:t>
      </w:r>
      <w:r>
        <w:rPr>
          <w:rFonts w:hint="default"/>
          <w:lang w:val="en-US"/>
        </w:rPr>
        <w:t>1</w:t>
      </w:r>
      <w:r>
        <w:t xml:space="preserve"> (Low / Thấp), </w:t>
      </w:r>
      <w:r>
        <w:rPr>
          <w:rFonts w:hint="default"/>
          <w:lang w:val="en-US"/>
        </w:rPr>
        <w:t>2</w:t>
      </w:r>
      <w:r>
        <w:t xml:space="preserve">(Normal / Bình thường), </w:t>
      </w:r>
      <w:r>
        <w:rPr>
          <w:rFonts w:hint="default"/>
          <w:lang w:val="en-US"/>
        </w:rPr>
        <w:t>3</w:t>
      </w:r>
      <w:r>
        <w:t xml:space="preserve"> (High / Cao).</w:t>
      </w:r>
    </w:p>
    <w:p w14:paraId="4393F8CA">
      <w:pPr>
        <w:bidi w:val="0"/>
        <w:ind w:firstLine="720" w:firstLineChars="0"/>
      </w:pPr>
      <w:r>
        <w:rPr>
          <w:rFonts w:hint="default"/>
          <w:lang w:val="en-US"/>
        </w:rPr>
        <w:t xml:space="preserve">-  </w:t>
      </w:r>
      <w:r>
        <w:t>has_special_equip: Binary Pass-through (0: Không có thiết bị, 1: Có thiết bị chuyên dụng).</w:t>
      </w:r>
    </w:p>
    <w:p w14:paraId="4F3E3068">
      <w:pPr>
        <w:bidi w:val="0"/>
        <w:ind w:firstLine="720" w:firstLineChars="0"/>
      </w:pPr>
      <w:r>
        <w:rPr>
          <w:rFonts w:hint="default"/>
          <w:lang w:val="en-US"/>
        </w:rPr>
        <w:t xml:space="preserve">-  </w:t>
      </w:r>
      <w:r>
        <w:t xml:space="preserve">priority: Ordinal Encoding từ 1 </w:t>
      </w:r>
      <w:r>
        <w:rPr>
          <w:rFonts w:hint="default" w:ascii="Arial" w:hAnsi="Arial" w:cs="Arial"/>
        </w:rPr>
        <w:t>→</w:t>
      </w:r>
      <w:r>
        <w:t xml:space="preserve"> 5.</w:t>
      </w:r>
    </w:p>
    <w:p w14:paraId="172575A7">
      <w:pPr>
        <w:pStyle w:val="24"/>
        <w:bidi w:val="0"/>
        <w:ind w:left="360" w:leftChars="0" w:hanging="360" w:firstLineChars="0"/>
      </w:pPr>
      <w:r>
        <w:t>Chuẩn hóa Dữ liệu (Feature Scaling): Sử dụng StandardScaler cho biến thời lượng định mức chuẩn default_duration để đưa về phân phối chuẩn hóa có trung bình bằng 0 và độ lệch chuẩn bằng 1.</w:t>
      </w:r>
    </w:p>
    <w:p w14:paraId="0DB693F7">
      <w:pPr>
        <w:pStyle w:val="3"/>
        <w:keepNext/>
        <w:spacing w:before="240" w:after="80"/>
        <w:rPr>
          <w:color w:val="auto"/>
        </w:rPr>
      </w:pPr>
      <w:r>
        <w:rPr>
          <w:rFonts w:ascii="Times New Roman" w:hAnsi="Times New Roman"/>
          <w:b/>
          <w:color w:val="auto"/>
          <w:sz w:val="27"/>
        </w:rPr>
        <w:t>4.3. Đóng gói Pipeline (Model Artifact Pipeline)</w:t>
      </w:r>
    </w:p>
    <w:p w14:paraId="597C705B">
      <w:pPr>
        <w:bidi w:val="0"/>
        <w:rPr>
          <w:rFonts w:hint="default"/>
        </w:rPr>
      </w:pPr>
      <w:r>
        <w:t xml:space="preserve">Toàn bộ các bước tiền xử lý (Imputer, Scaler, Encoder) và mô hình dự báo học máy (XGBoost / Random Forest) được đóng gói thống nhất trong đối tượng </w:t>
      </w:r>
      <w:r>
        <w:rPr>
          <w:rFonts w:hint="default"/>
        </w:rPr>
        <w:t xml:space="preserve">Pipeline của thư viện </w:t>
      </w:r>
      <w:r>
        <w:t>Scikit-learn</w:t>
      </w:r>
      <w:r>
        <w:rPr>
          <w:rFonts w:hint="default"/>
        </w:rPr>
        <w:t xml:space="preserve"> và xuất thành file artifact duration_model_v1.joblib. Điều này đảm bảo tính nhất quán giữa môi trường huấn luyện và Inference API, tránh lệch dữ liệu (Training-Inference Skew).</w:t>
      </w:r>
    </w:p>
    <w:p w14:paraId="126FB87E">
      <w:pPr>
        <w:bidi w:val="0"/>
        <w:outlineLvl w:val="1"/>
        <w:rPr>
          <w:rFonts w:hint="default"/>
          <w:b/>
          <w:bCs/>
        </w:rPr>
      </w:pPr>
      <w:r>
        <w:rPr>
          <w:rFonts w:hint="default"/>
          <w:b/>
          <w:bCs/>
          <w:lang w:val="en-US"/>
        </w:rPr>
        <w:t xml:space="preserve">4.4 </w:t>
      </w:r>
      <w:r>
        <w:rPr>
          <w:b/>
          <w:bCs/>
        </w:rPr>
        <w:t>Tiêu chuẩn Lọc Nhãn Target (</w:t>
      </w:r>
      <w:r>
        <w:rPr>
          <w:rFonts w:hint="default"/>
          <w:b/>
          <w:bCs/>
        </w:rPr>
        <w:t xml:space="preserve"> actual_duration ) &amp; Tách Ngoại lệ</w:t>
      </w:r>
    </w:p>
    <w:p w14:paraId="6D3EB567">
      <w:pPr>
        <w:numPr>
          <w:ilvl w:val="0"/>
          <w:numId w:val="8"/>
        </w:numPr>
        <w:bidi w:val="0"/>
      </w:pPr>
      <w:r>
        <w:rPr>
          <w:b/>
          <w:bCs/>
        </w:rPr>
        <w:t>Điều kiện tập Train:</w:t>
      </w:r>
      <w:r>
        <w:t xml:space="preserve"> Mô hình AI chỉ học trên các ca khám hoàn thành bình thường. Tập dữ liệu huấn luyện chỉ lọc các bản ghi thỏa mãn đồng thời: </w:t>
      </w:r>
    </w:p>
    <w:p w14:paraId="623B7056">
      <w:pPr>
        <w:numPr>
          <w:numId w:val="0"/>
        </w:numPr>
        <w:bidi w:val="0"/>
        <w:rPr>
          <w:rFonts w:hint="default"/>
          <w:lang w:val="en-US"/>
        </w:rPr>
      </w:pPr>
      <w:r>
        <w:rPr>
          <w:rFonts w:hint="default"/>
          <w:lang w:val="en-US"/>
        </w:rPr>
        <w:t>assignments.assignment_status=‘COMPLETED’ AND service_results.status_outcome ='SUCCESSFUL'</w:t>
      </w:r>
    </w:p>
    <w:p w14:paraId="4354BE39">
      <w:pPr>
        <w:numPr>
          <w:ilvl w:val="0"/>
          <w:numId w:val="8"/>
        </w:numPr>
        <w:bidi w:val="0"/>
      </w:pPr>
      <w:r>
        <w:t>Tách riêng ngoại lệ: Các ca khám thuộc nhóm PATIENT_ABSENT (vắng mặt), ABORTED (hủy ca) hoặc PARTIALLY_COMPLETED (hoàn thành 1 phần) bị loại khỏi tập train mô hình AI và đưa vào danh mục báo cáo phân tích ngoại lệ riêng.</w:t>
      </w:r>
    </w:p>
    <w:p w14:paraId="6A88EA11">
      <w:pPr>
        <w:bidi w:val="0"/>
        <w:outlineLvl w:val="1"/>
        <w:rPr>
          <w:b/>
          <w:bCs/>
        </w:rPr>
      </w:pPr>
      <w:r>
        <w:rPr>
          <w:b/>
          <w:bCs/>
          <w:lang w:val="en-US" w:eastAsia="zh-CN"/>
        </w:rPr>
        <w:t>4.5. Phát hiện &amp; Xử lý Outliers theo Từng Loại Dịch vụ (service_id)</w:t>
      </w:r>
    </w:p>
    <w:p w14:paraId="3A9099F9">
      <w:pPr>
        <w:bidi w:val="0"/>
        <w:rPr>
          <w:lang w:val="en-US" w:eastAsia="zh-CN"/>
        </w:rPr>
      </w:pPr>
      <w:r>
        <w:rPr>
          <w:lang w:val="en-US" w:eastAsia="zh-CN"/>
        </w:rPr>
        <w:t>Áp dụng quy tắc khoảng biến thiên tứ phân vị IQR (Interquartile Range) tính độc lập cho từng nhóm service_id:</w:t>
      </w:r>
    </w:p>
    <w:p w14:paraId="7C8A38A8">
      <w:pPr>
        <w:bidi w:val="0"/>
        <m:rPr/>
        <w:rPr>
          <w:rFonts w:hint="default" w:hAnsi="Cambria Math" w:cs="Cambria Math"/>
          <w:i w:val="0"/>
          <w:color w:val="1E1E1E"/>
          <w:sz w:val="26"/>
          <w:szCs w:val="22"/>
          <w:lang w:val="en-US" w:eastAsia="zh-CN" w:bidi="ar-SA"/>
        </w:rPr>
      </w:pPr>
      <m:oMathPara>
        <m:oMath>
          <m:r>
            <m:rPr/>
            <w:rPr>
              <w:rFonts w:hint="default" w:ascii="Cambria Math" w:hAnsi="Cambria Math" w:cstheme="minorBidi"/>
              <w:color w:val="1E1E1E"/>
              <w:sz w:val="26"/>
              <w:szCs w:val="22"/>
              <w:lang w:val="en-US" w:eastAsia="zh-CN" w:bidi="ar-SA"/>
            </w:rPr>
            <m:t>Lower Bound = max (10,Q1 −1,5</m:t>
          </m:r>
          <m:r>
            <m:rPr/>
            <w:rPr>
              <w:rFonts w:hint="default" w:ascii="Cambria Math" w:hAnsi="Cambria Math" w:cs="Cambria Math"/>
              <w:color w:val="1E1E1E"/>
              <w:sz w:val="26"/>
              <w:szCs w:val="22"/>
              <w:lang w:val="en-US" w:eastAsia="zh-CN" w:bidi="ar-SA"/>
            </w:rPr>
            <m:t>×</m:t>
          </m:r>
          <m:r>
            <m:rPr/>
            <w:rPr>
              <w:rFonts w:hint="default" w:ascii="Cambria Math" w:hAnsi="Cambria Math" w:cstheme="minorBidi"/>
              <w:color w:val="1E1E1E"/>
              <w:sz w:val="26"/>
              <w:szCs w:val="22"/>
              <w:lang w:val="en-US" w:eastAsia="zh-CN" w:bidi="ar-SA"/>
            </w:rPr>
            <m:t xml:space="preserve">IQR) và Upper Bound = Q3+1,5 </m:t>
          </m:r>
          <m:r>
            <m:rPr/>
            <w:rPr>
              <w:rFonts w:hint="default" w:ascii="Cambria Math" w:hAnsi="Cambria Math" w:cs="Cambria Math"/>
              <w:color w:val="1E1E1E"/>
              <w:sz w:val="26"/>
              <w:szCs w:val="22"/>
              <w:lang w:val="en-US" w:eastAsia="zh-CN" w:bidi="ar-SA"/>
            </w:rPr>
            <m:t>× IQR</m:t>
          </m:r>
        </m:oMath>
      </m:oMathPara>
    </w:p>
    <w:p w14:paraId="1ED60795">
      <w:pPr>
        <w:bidi w:val="0"/>
      </w:pPr>
      <w:r>
        <m:rPr/>
        <w:rPr>
          <w:rFonts w:hint="default" w:hAnsi="Cambria Math" w:cs="Cambria Math"/>
          <w:i w:val="0"/>
          <w:color w:val="1E1E1E"/>
          <w:sz w:val="26"/>
          <w:szCs w:val="22"/>
          <w:lang w:val="en-US" w:eastAsia="zh-CN" w:bidi="ar-SA"/>
        </w:rPr>
        <w:t xml:space="preserve">Tất cả các ca có actual_duration &lt; Lower Bound hoặc &gt; Upper Bound sẽ bị đánh </w:t>
      </w:r>
      <w:r>
        <w:rPr>
          <w:lang w:val="en-US" w:eastAsia="zh-CN"/>
        </w:rPr>
        <w:t>sẽ bị đánh dấu là Outlier và bỏ qua khi đóng gói ml_dataset.csv.</w:t>
      </w:r>
    </w:p>
    <w:p w14:paraId="6F0640A5">
      <w:pPr>
        <w:bidi w:val="0"/>
        <w:outlineLvl w:val="1"/>
        <w:rPr>
          <w:b/>
          <w:bCs/>
        </w:rPr>
      </w:pPr>
      <w:r>
        <w:rPr>
          <w:b/>
          <w:bCs/>
          <w:lang w:val="en-US" w:eastAsia="zh-CN"/>
        </w:rPr>
        <w:t>4.6. Chiến lược Phân chia Dữ liệu theo Dòng Thời gian (Chronological Split)</w:t>
      </w:r>
    </w:p>
    <w:p w14:paraId="564DE427">
      <w:pPr>
        <w:bidi w:val="0"/>
      </w:pPr>
      <w:r>
        <w:rPr>
          <w:lang w:val="en-US" w:eastAsia="zh-CN"/>
        </w:rPr>
        <w:t>Sắp xếp dữ liệu tăng dần theo mốc thời gian thực hiện ca khám actual_start:</w:t>
      </w:r>
    </w:p>
    <w:p w14:paraId="5BA03219">
      <w:pPr>
        <w:keepNext w:val="0"/>
        <w:keepLines w:val="0"/>
        <w:widowControl/>
        <w:numPr>
          <w:ilvl w:val="0"/>
          <w:numId w:val="9"/>
        </w:numPr>
        <w:suppressLineNumbers w:val="0"/>
        <w:spacing w:before="0" w:beforeAutospacing="1" w:after="0" w:afterAutospacing="1"/>
        <w:ind w:left="720" w:hanging="360"/>
      </w:pPr>
      <w:r>
        <w:rPr>
          <w:b/>
          <w:bCs/>
        </w:rPr>
        <w:t>Train Set (70% đầu):</w:t>
      </w:r>
      <w:r>
        <w:t xml:space="preserve"> Dùng để huấn luyện mô hình.</w:t>
      </w:r>
    </w:p>
    <w:p w14:paraId="78B3B3F8">
      <w:pPr>
        <w:keepNext w:val="0"/>
        <w:keepLines w:val="0"/>
        <w:widowControl/>
        <w:numPr>
          <w:ilvl w:val="0"/>
          <w:numId w:val="9"/>
        </w:numPr>
        <w:suppressLineNumbers w:val="0"/>
        <w:spacing w:before="0" w:beforeAutospacing="1" w:after="0" w:afterAutospacing="1"/>
        <w:ind w:left="720" w:hanging="360"/>
      </w:pPr>
      <w:r>
        <w:rPr>
          <w:b/>
          <w:bCs/>
        </w:rPr>
        <w:t>Validation Set (15% tiếp theo):</w:t>
      </w:r>
      <w:r>
        <w:t xml:space="preserve"> Dùng để tinh chỉnh siêu tham số (Hyperparameter tuning) và chọn mô hình tối ưu.</w:t>
      </w:r>
    </w:p>
    <w:p w14:paraId="4A8AE754">
      <w:pPr>
        <w:keepNext w:val="0"/>
        <w:keepLines w:val="0"/>
        <w:widowControl/>
        <w:numPr>
          <w:ilvl w:val="0"/>
          <w:numId w:val="9"/>
        </w:numPr>
        <w:suppressLineNumbers w:val="0"/>
        <w:spacing w:before="0" w:beforeAutospacing="1" w:after="0" w:afterAutospacing="1"/>
        <w:ind w:left="720" w:hanging="360"/>
        <w:rPr>
          <w:rFonts w:hint="default"/>
          <w:lang w:val="en-US"/>
        </w:rPr>
      </w:pPr>
      <w:r>
        <w:rPr>
          <w:b/>
          <w:bCs/>
        </w:rPr>
        <w:t>Test Set (15% cuối cùng):</w:t>
      </w:r>
      <w:r>
        <w:t xml:space="preserve"> </w:t>
      </w:r>
      <w:r>
        <w:rPr>
          <w:b/>
          <w:bCs/>
        </w:rPr>
        <w:t>Cô lập tuyệt đối</w:t>
      </w:r>
      <w:r>
        <w:t>, không dùng để chọn mô hình hay tuning tham số; chỉ dùng để đánh giá lại các chỉ số MAE, RMSE, $R^2$ lần cuối trước khi nghiệm thu.</w:t>
      </w:r>
      <w:bookmarkStart w:id="0" w:name="_GoBack"/>
      <w:bookmarkEnd w:id="0"/>
    </w:p>
    <w:p w14:paraId="3E53C634">
      <w:pPr>
        <w:pStyle w:val="2"/>
        <w:keepNext/>
        <w:spacing w:before="320" w:after="120"/>
        <w:rPr>
          <w:color w:val="auto"/>
        </w:rPr>
      </w:pPr>
      <w:r>
        <w:rPr>
          <w:rFonts w:ascii="Times New Roman" w:hAnsi="Times New Roman"/>
          <w:b/>
          <w:color w:val="auto"/>
          <w:sz w:val="30"/>
        </w:rPr>
        <w:t>5. PHÂN CHIA DỮ LIỆU VÀ ĐÁNH GIÁ MÔ HÌNH (EVALUATION PLAN)</w:t>
      </w:r>
    </w:p>
    <w:p w14:paraId="521FF2C9">
      <w:pPr>
        <w:pStyle w:val="3"/>
        <w:keepNext/>
        <w:spacing w:before="240" w:after="80"/>
        <w:rPr>
          <w:color w:val="auto"/>
        </w:rPr>
      </w:pPr>
      <w:r>
        <w:rPr>
          <w:rFonts w:ascii="Times New Roman" w:hAnsi="Times New Roman"/>
          <w:b/>
          <w:color w:val="auto"/>
          <w:sz w:val="27"/>
        </w:rPr>
        <w:t>5.1. Phân chia Tập dữ liệu (Data Splitting Strategy)</w:t>
      </w:r>
    </w:p>
    <w:p w14:paraId="192794E7">
      <w:pPr>
        <w:jc w:val="left"/>
        <w:rPr>
          <w:color w:val="auto"/>
        </w:rPr>
      </w:pPr>
      <w:r>
        <w:rPr>
          <w:rFonts w:ascii="Times New Roman" w:hAnsi="Times New Roman"/>
          <w:color w:val="auto"/>
        </w:rPr>
        <w:t xml:space="preserve">• Tỷ lệ phân chia tập dữ liệu: </w:t>
      </w:r>
      <w:r>
        <w:rPr>
          <w:b/>
          <w:color w:val="auto"/>
        </w:rPr>
        <w:t>70% Tập huấn luyện (Train) – 15% Tập kiểm định (Validation) – 15% Tập kiểm thử (Test)</w:t>
      </w:r>
      <w:r>
        <w:rPr>
          <w:color w:val="auto"/>
        </w:rPr>
        <w:t>.</w:t>
      </w:r>
      <w:r>
        <w:rPr>
          <w:color w:val="auto"/>
        </w:rPr>
        <w:br w:type="textWrapping"/>
      </w:r>
      <w:r>
        <w:rPr>
          <w:color w:val="auto"/>
        </w:rPr>
        <w:t>• Phân chia theo chuỗi thời gian (</w:t>
      </w:r>
      <w:r>
        <w:rPr>
          <w:b/>
          <w:color w:val="auto"/>
        </w:rPr>
        <w:t>Chronological Split</w:t>
      </w:r>
      <w:r>
        <w:rPr>
          <w:color w:val="auto"/>
        </w:rPr>
        <w:t>): Dữ liệu quá khứ dùng để huấn luyện và dữ liệu tương lai dùng để kiểm thử nhằm mô phỏng chính xác điều kiện vận hành thực tế.</w:t>
      </w:r>
    </w:p>
    <w:p w14:paraId="46D02DAF">
      <w:pPr>
        <w:pStyle w:val="3"/>
        <w:keepNext/>
        <w:spacing w:before="240" w:after="80"/>
        <w:rPr>
          <w:color w:val="auto"/>
        </w:rPr>
      </w:pPr>
      <w:r>
        <w:rPr>
          <w:rFonts w:ascii="Times New Roman" w:hAnsi="Times New Roman"/>
          <w:b/>
          <w:color w:val="auto"/>
          <w:sz w:val="27"/>
        </w:rPr>
        <w:t>5.2. Danh sách Mô hình Đánh giá Đối sánh</w:t>
      </w:r>
    </w:p>
    <w:p w14:paraId="08B73417">
      <w:pPr>
        <w:rPr>
          <w:color w:val="auto"/>
        </w:rPr>
      </w:pPr>
      <w:r>
        <w:rPr>
          <w:color w:val="auto"/>
        </w:rPr>
        <w:t>Hệ thống tiến hành thử nghiệm và so sánh hiệu năng giữa các nhóm thuật toán:</w:t>
      </w:r>
    </w:p>
    <w:p w14:paraId="47D2B087">
      <w:pPr>
        <w:pStyle w:val="24"/>
        <w:rPr>
          <w:color w:val="auto"/>
        </w:rPr>
      </w:pPr>
      <w:r>
        <w:rPr>
          <w:b/>
          <w:color w:val="auto"/>
        </w:rPr>
        <w:t xml:space="preserve">Baseline A (Median Baseline): </w:t>
      </w:r>
      <w:r>
        <w:rPr>
          <w:color w:val="auto"/>
        </w:rPr>
        <w:t>Dự báo thời lượng bằng giá trị Trung vị lịch sử theo loại dịch vụ.</w:t>
      </w:r>
    </w:p>
    <w:p w14:paraId="47D0CD3A">
      <w:pPr>
        <w:pStyle w:val="24"/>
        <w:rPr>
          <w:color w:val="auto"/>
        </w:rPr>
      </w:pPr>
      <w:r>
        <w:rPr>
          <w:b/>
          <w:color w:val="auto"/>
        </w:rPr>
        <w:t xml:space="preserve">Baseline B (Mean Baseline): </w:t>
      </w:r>
      <w:r>
        <w:rPr>
          <w:color w:val="auto"/>
        </w:rPr>
        <w:t>Dự báo thời lượng bằng giá trị Trung bình lịch sử theo loại dịch vụ.</w:t>
      </w:r>
    </w:p>
    <w:p w14:paraId="02B40F24">
      <w:pPr>
        <w:pStyle w:val="24"/>
        <w:rPr>
          <w:color w:val="auto"/>
        </w:rPr>
      </w:pPr>
      <w:r>
        <w:rPr>
          <w:b/>
          <w:color w:val="auto"/>
        </w:rPr>
        <w:t xml:space="preserve">Linear / Ridge Regression: </w:t>
      </w:r>
      <w:r>
        <w:rPr>
          <w:color w:val="auto"/>
        </w:rPr>
        <w:t>Mô hình tuyến tính có chuẩn hóa L2 làm điểm đối chiếu nâng cao.</w:t>
      </w:r>
    </w:p>
    <w:p w14:paraId="2A455730">
      <w:pPr>
        <w:pStyle w:val="24"/>
        <w:rPr>
          <w:color w:val="auto"/>
        </w:rPr>
      </w:pPr>
      <w:r>
        <w:rPr>
          <w:b/>
          <w:color w:val="auto"/>
        </w:rPr>
        <w:t xml:space="preserve">Random Forest Regressor: </w:t>
      </w:r>
      <w:r>
        <w:rPr>
          <w:color w:val="auto"/>
        </w:rPr>
        <w:t>Mô hình học máy phi tuyến dạng cây quyết định kết hợp (Ensemble Tree).</w:t>
      </w:r>
    </w:p>
    <w:p w14:paraId="72B22F4B">
      <w:pPr>
        <w:pStyle w:val="24"/>
        <w:rPr>
          <w:color w:val="auto"/>
        </w:rPr>
      </w:pPr>
      <w:r>
        <w:rPr>
          <w:b/>
          <w:color w:val="auto"/>
        </w:rPr>
        <w:t xml:space="preserve">XGBoost / HistGradientBoosting Regressor: </w:t>
      </w:r>
      <w:r>
        <w:rPr>
          <w:color w:val="auto"/>
        </w:rPr>
        <w:t>Mô hình Gradient Boosting tối ưu nhất cho dữ liệu dạng bảng.</w:t>
      </w:r>
    </w:p>
    <w:p w14:paraId="5E7C2DF7">
      <w:pPr>
        <w:pStyle w:val="3"/>
        <w:keepNext/>
        <w:spacing w:before="240" w:after="80"/>
        <w:rPr>
          <w:color w:val="auto"/>
        </w:rPr>
      </w:pPr>
      <w:r>
        <w:rPr>
          <w:rFonts w:ascii="Times New Roman" w:hAnsi="Times New Roman"/>
          <w:b/>
          <w:color w:val="auto"/>
          <w:sz w:val="27"/>
        </w:rPr>
        <w:t>5.3. Thước đo Đánh giá Hiệu năng (Metrics)</w:t>
      </w:r>
    </w:p>
    <w:p w14:paraId="6928F7E3">
      <w:pPr>
        <w:jc w:val="left"/>
        <w:rPr>
          <w:color w:val="auto"/>
        </w:rPr>
      </w:pPr>
      <w:r>
        <w:rPr>
          <w:color w:val="auto"/>
        </w:rPr>
        <w:t xml:space="preserve">• </w:t>
      </w:r>
      <w:r>
        <w:rPr>
          <w:b/>
          <w:color w:val="auto"/>
        </w:rPr>
        <w:t>MAE (Mean Absolute Error):</w:t>
      </w:r>
      <w:r>
        <w:rPr>
          <w:color w:val="auto"/>
        </w:rPr>
        <w:t xml:space="preserve"> Sai số tuyệt đối trung bình tính bằng phút. Đây là chỉ số ưu tiên hàng đầu do mang ý nghĩa nghiệp vụ trực tiếp.</w:t>
      </w:r>
      <w:r>
        <w:rPr>
          <w:color w:val="auto"/>
        </w:rPr>
        <w:br w:type="textWrapping"/>
      </w:r>
      <w:r>
        <w:rPr>
          <w:color w:val="auto"/>
        </w:rPr>
        <w:t xml:space="preserve">• </w:t>
      </w:r>
      <w:r>
        <w:rPr>
          <w:b/>
          <w:color w:val="auto"/>
        </w:rPr>
        <w:t>RMSE (Root Mean Squared Error):</w:t>
      </w:r>
      <w:r>
        <w:rPr>
          <w:color w:val="auto"/>
        </w:rPr>
        <w:t xml:space="preserve"> Sai số căn bình phương trung bình, giúp phát hiện và phạt nặng các trường hợp dự báo sai lệch lớn.</w:t>
      </w:r>
      <w:r>
        <w:rPr>
          <w:color w:val="auto"/>
        </w:rPr>
        <w:br w:type="textWrapping"/>
      </w:r>
      <w:r>
        <w:rPr>
          <w:color w:val="auto"/>
        </w:rPr>
        <w:t xml:space="preserve">• </w:t>
      </w:r>
      <w:r>
        <w:rPr>
          <w:b/>
          <w:color w:val="auto"/>
        </w:rPr>
        <w:t>R² Score (Coefficient of Determination):</w:t>
      </w:r>
      <w:r>
        <w:rPr>
          <w:color w:val="auto"/>
        </w:rPr>
        <w:t xml:space="preserve"> Đo lường mức độ giải thích biến thiên của tập đặc trưng đối với thời lượng thực tế.</w:t>
      </w:r>
    </w:p>
    <w:p w14:paraId="66918388">
      <w:pPr>
        <w:pStyle w:val="2"/>
        <w:keepNext/>
        <w:spacing w:before="320" w:after="120"/>
        <w:rPr>
          <w:color w:val="auto"/>
        </w:rPr>
      </w:pPr>
      <w:r>
        <w:rPr>
          <w:rFonts w:ascii="Times New Roman" w:hAnsi="Times New Roman"/>
          <w:b/>
          <w:color w:val="auto"/>
          <w:sz w:val="30"/>
        </w:rPr>
        <w:t>6. TÍCH HỢP HỆ THỐNG, TRUY VẾT CSDL VÀ ABLATION STUDY</w:t>
      </w:r>
    </w:p>
    <w:p w14:paraId="5C5E3F5A">
      <w:pPr>
        <w:pStyle w:val="3"/>
        <w:keepNext/>
        <w:spacing w:before="240" w:after="80"/>
        <w:rPr>
          <w:color w:val="auto"/>
        </w:rPr>
      </w:pPr>
      <w:r>
        <w:rPr>
          <w:rFonts w:ascii="Times New Roman" w:hAnsi="Times New Roman"/>
          <w:b/>
          <w:color w:val="auto"/>
          <w:sz w:val="27"/>
        </w:rPr>
        <w:t>6.1. Lưu vết Dự báo &amp; Truy xuất CSDL</w:t>
      </w:r>
    </w:p>
    <w:p w14:paraId="07105C65">
      <w:pPr>
        <w:jc w:val="left"/>
        <w:rPr>
          <w:color w:val="auto"/>
        </w:rPr>
      </w:pPr>
      <w:r>
        <w:rPr>
          <w:color w:val="auto"/>
        </w:rPr>
        <w:t xml:space="preserve">• Phiên bản mô hình AI được đăng ký chính thức tại bảng </w:t>
      </w:r>
      <w:r>
        <w:rPr>
          <w:b/>
          <w:color w:val="auto"/>
        </w:rPr>
        <w:t>ai_model_versions</w:t>
      </w:r>
      <w:r>
        <w:rPr>
          <w:color w:val="auto"/>
        </w:rPr>
        <w:t xml:space="preserve"> (lưu vết `version`, `algorithm`, `metrics_json`, `artifact_path`).</w:t>
      </w:r>
      <w:r>
        <w:rPr>
          <w:color w:val="auto"/>
        </w:rPr>
        <w:br w:type="textWrapping"/>
      </w:r>
      <w:r>
        <w:rPr>
          <w:color w:val="auto"/>
        </w:rPr>
        <w:t xml:space="preserve">• Kết quả chạy dự báo thực tế lưu tại bảng </w:t>
      </w:r>
      <w:r>
        <w:rPr>
          <w:b/>
          <w:color w:val="auto"/>
        </w:rPr>
        <w:t>ai_predictions</w:t>
      </w:r>
      <w:r>
        <w:rPr>
          <w:color w:val="auto"/>
        </w:rPr>
        <w:t xml:space="preserve"> (lưu `predicted_duration`, `prediction_meta_json`). Bảng `assignments` tham chiếu tới `prediction_id` để biết thời lượng dự báo nào đã được sử dụng khi lập lịch.</w:t>
      </w:r>
    </w:p>
    <w:p w14:paraId="6E949870">
      <w:pPr>
        <w:pStyle w:val="3"/>
        <w:keepNext/>
        <w:spacing w:before="240" w:after="80"/>
        <w:rPr>
          <w:color w:val="auto"/>
        </w:rPr>
      </w:pPr>
      <w:r>
        <w:rPr>
          <w:rFonts w:ascii="Times New Roman" w:hAnsi="Times New Roman"/>
          <w:b/>
          <w:color w:val="auto"/>
          <w:sz w:val="27"/>
        </w:rPr>
        <w:t>6.2. Tích hợp Mô hình Tối ưu hóa Lập lịch (OR-Tools)</w:t>
      </w:r>
    </w:p>
    <w:p w14:paraId="7523409B">
      <w:pPr>
        <w:rPr>
          <w:color w:val="auto"/>
        </w:rPr>
      </w:pPr>
      <w:r>
        <w:rPr>
          <w:color w:val="auto"/>
        </w:rPr>
        <w:t xml:space="preserve">Giá trị </w:t>
      </w:r>
      <w:r>
        <w:rPr>
          <w:b/>
          <w:color w:val="auto"/>
        </w:rPr>
        <w:t>predicted_duration</w:t>
      </w:r>
      <w:r>
        <w:rPr>
          <w:color w:val="auto"/>
        </w:rPr>
        <w:t xml:space="preserve"> sau khi dự báo được truyền làm tham số đầu vào cho bộ lọc Ràng buộc cứng (Hard Constraints) và thuật toán Google OR-Tools để tính toán khung giờ kết thúc dự kiến (</w:t>
      </w:r>
      <w:r>
        <w:rPr>
          <w:i/>
          <w:color w:val="auto"/>
        </w:rPr>
        <w:t>scheduled_end = scheduled_start + predicted_duration</w:t>
      </w:r>
      <w:r>
        <w:rPr>
          <w:color w:val="auto"/>
        </w:rPr>
        <w:t>), kiểm tra trùng lịch (Overlap), khả năng di chuyển (Travel feasibility) và giới hạn công việc trong ngày.</w:t>
      </w:r>
    </w:p>
    <w:p w14:paraId="6F38AD53">
      <w:pPr>
        <w:pStyle w:val="3"/>
        <w:keepNext/>
        <w:spacing w:before="240" w:after="80"/>
        <w:rPr>
          <w:color w:val="auto"/>
        </w:rPr>
      </w:pPr>
      <w:r>
        <w:rPr>
          <w:rFonts w:ascii="Times New Roman" w:hAnsi="Times New Roman"/>
          <w:b/>
          <w:color w:val="auto"/>
          <w:sz w:val="27"/>
        </w:rPr>
        <w:t>6.3. Thực nghiệm Ablation Study</w:t>
      </w:r>
    </w:p>
    <w:p w14:paraId="380C85A0">
      <w:pPr>
        <w:rPr>
          <w:color w:val="auto"/>
        </w:rPr>
      </w:pPr>
      <w:r>
        <w:rPr>
          <w:color w:val="auto"/>
        </w:rPr>
        <w:t>Để chứng minh định lượng đóng góp chuyên môn của mô hình AI đối với toàn bộ hệ thống, đề tài thiết kế bài thực nghiệm đối chứng (Ablation Study) so sánh giữa 2 phương án:</w:t>
      </w:r>
    </w:p>
    <w:p w14:paraId="7629ABF5">
      <w:pPr>
        <w:pStyle w:val="24"/>
        <w:rPr>
          <w:color w:val="auto"/>
        </w:rPr>
      </w:pPr>
      <w:r>
        <w:rPr>
          <w:b/>
          <w:color w:val="auto"/>
        </w:rPr>
        <w:t xml:space="preserve">Phương án Gốc (Baseline): </w:t>
      </w:r>
      <w:r>
        <w:rPr>
          <w:color w:val="auto"/>
        </w:rPr>
        <w:t>Sử dụng Thời lượng Định mức Mặc định + Thuật toán Tối ưu hóa OR-Tools (</w:t>
      </w:r>
      <w:r>
        <w:rPr>
          <w:i/>
          <w:color w:val="auto"/>
        </w:rPr>
        <w:t>Default Duration + OR-Tools</w:t>
      </w:r>
      <w:r>
        <w:rPr>
          <w:color w:val="auto"/>
        </w:rPr>
        <w:t>).</w:t>
      </w:r>
    </w:p>
    <w:p w14:paraId="69AF627D">
      <w:pPr>
        <w:pStyle w:val="24"/>
        <w:rPr>
          <w:color w:val="auto"/>
        </w:rPr>
      </w:pPr>
      <w:r>
        <w:rPr>
          <w:b/>
          <w:color w:val="auto"/>
        </w:rPr>
        <w:t xml:space="preserve">Phương án Đề xuất (AI-Integrated): </w:t>
      </w:r>
      <w:r>
        <w:rPr>
          <w:color w:val="auto"/>
        </w:rPr>
        <w:t>Sử dụng Thời lượng AI Dự báo + Thuật toán Tối ưu hóa OR-Tools (</w:t>
      </w:r>
      <w:r>
        <w:rPr>
          <w:i/>
          <w:color w:val="auto"/>
        </w:rPr>
        <w:t>Predicted Duration + OR-Tools</w:t>
      </w:r>
      <w:r>
        <w:rPr>
          <w:color w:val="auto"/>
        </w:rPr>
        <w:t>).</w:t>
      </w:r>
    </w:p>
    <w:p w14:paraId="1C92BA6B">
      <w:pPr>
        <w:rPr>
          <w:color w:val="auto"/>
        </w:rPr>
      </w:pPr>
      <w:r>
        <w:rPr>
          <w:color w:val="auto"/>
        </w:rPr>
        <w:t xml:space="preserve">• </w:t>
      </w:r>
      <w:r>
        <w:rPr>
          <w:b/>
          <w:color w:val="auto"/>
        </w:rPr>
        <w:t>Kết quả kỳ vọng:</w:t>
      </w:r>
      <w:r>
        <w:rPr>
          <w:color w:val="auto"/>
        </w:rPr>
        <w:t xml:space="preserve"> Báo cáo mức chênh lệch định lượng (Δ travel time, Δ overtime, Δ feasible rate) chứng minh việc ứng dụng thời lượng dự báo AI giúp giảm thiểu tình trạng trễ lịch thực tế và cân bằng tải công việc tốt hơn rõ rệt so với lập lịch theo định mức tĩnh.</w:t>
      </w:r>
    </w:p>
    <w:sectPr>
      <w:headerReference r:id="rId5" w:type="default"/>
      <w:footerReference r:id="rId6" w:type="default"/>
      <w:pgSz w:w="11909" w:h="16834"/>
      <w:pgMar w:top="1440" w:right="1138" w:bottom="1440"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0A8C9">
    <w:pPr>
      <w:pStyle w:val="18"/>
      <w:jc w:val="center"/>
    </w:pPr>
    <w:r>
      <w:rPr>
        <w:rFonts w:ascii="Times New Roman" w:hAnsi="Times New Roman"/>
        <w:color w:val="646464"/>
        <w:sz w:val="18"/>
      </w:rPr>
      <w:t xml:space="preserve">Kế hoạch Dữ liệu Mô hình AI Dự báo Thời lượng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2B022">
    <w:pPr>
      <w:pStyle w:val="19"/>
      <w:jc w:val="right"/>
    </w:pPr>
    <w:r>
      <w:rPr>
        <w:rFonts w:ascii="Times New Roman" w:hAnsi="Times New Roman"/>
        <w:color w:val="787878"/>
        <w:sz w:val="17"/>
      </w:rPr>
      <w:t>HOME HEALTHCARE MIS | DATA PLAN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36F973"/>
    <w:multiLevelType w:val="multilevel"/>
    <w:tmpl w:val="A236F9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0AC83A81"/>
    <w:multiLevelType w:val="multilevel"/>
    <w:tmpl w:val="0AC83A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3AD4062"/>
    <w:multiLevelType w:val="multilevel"/>
    <w:tmpl w:val="73AD40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F066BA"/>
    <w:rsid w:val="5DF873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12" w:lineRule="auto"/>
      <w:jc w:val="both"/>
    </w:pPr>
    <w:rPr>
      <w:rFonts w:ascii="Times New Roman" w:hAnsi="Times New Roman" w:eastAsiaTheme="minorEastAsia" w:cstheme="minorBidi"/>
      <w:color w:val="1E1E1E"/>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1573</Words>
  <Characters>6951</Characters>
  <Lines>0</Lines>
  <Paragraphs>0</Paragraphs>
  <TotalTime>20</TotalTime>
  <ScaleCrop>false</ScaleCrop>
  <LinksUpToDate>false</LinksUpToDate>
  <CharactersWithSpaces>8385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Thạch Thảo Nguyễn</cp:lastModifiedBy>
  <dcterms:modified xsi:type="dcterms:W3CDTF">2026-10-12T12:27:44Z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eyJoZGlkIjoiYjJjOTQxYzhjODMyMDAzZmE0MDJkMWFkNmJlNDkwYTUiLCJ1c2VySWQiOiIxMzc0NDA3OTU4MDM0In0=</vt:lpwstr>
  </property>
  <property fmtid="{D5CDD505-2E9C-101B-9397-08002B2CF9AE}" pid="3" name="KSOProductBuildVer">
    <vt:lpwstr>1033-12.1.0.28485</vt:lpwstr>
  </property>
  <property fmtid="{D5CDD505-2E9C-101B-9397-08002B2CF9AE}" pid="4" name="ICV">
    <vt:lpwstr>A24DC0BA54AA4C668541120275FC1DA4_12</vt:lpwstr>
  </property>
</Properties>
</file>