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Research Question: </w:t>
      </w:r>
      <w:r w:rsidDel="00000000" w:rsidR="00000000" w:rsidRPr="00000000">
        <w:rPr>
          <w:rFonts w:ascii="Roboto" w:cs="Roboto" w:eastAsia="Roboto" w:hAnsi="Roboto"/>
          <w:color w:val="31394d"/>
          <w:rtl w:val="0"/>
        </w:rPr>
        <w:t xml:space="preserve">Which</w:t>
        <w:tab/>
        <w:t xml:space="preserve">pathways</w:t>
        <w:tab/>
        <w:t xml:space="preserve">are</w:t>
        <w:tab/>
        <w:t xml:space="preserve"> affected by induction with methyl</w:t>
        <w:tab/>
        <w:t xml:space="preserve">jasmonate?</w:t>
      </w:r>
      <w:r w:rsidDel="00000000" w:rsidR="00000000" w:rsidRPr="00000000">
        <w:rPr>
          <w:rFonts w:ascii="Roboto" w:cs="Roboto" w:eastAsia="Roboto" w:hAnsi="Roboto"/>
          <w:color w:val="31394d"/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 read quality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Check if reads are trimmed properly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Genome Mapping with Hisat2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Transcriptome identification with cufflinks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 annotation with 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Predict biosynthetic pathway gene clusters using Plantismash with genomes V1 and V2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Compare additional samples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Compare status of different samples with different inducement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find out technical and biological variation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3419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differential: control vs meja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pathway enrichment for DFG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annotate pathways (kegg, GO, blastkoala (kegg orthology groups), egg-nog (cog), cathacyc (gene ID’s from transcriptome from 2012, needs conversion))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probably transcriptome, smaller (2015, 2018)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either use paper settings or use own version and compare (which samples)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find meja treatment samples from cathacyc paper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effect gone after 24 hours, so compare multiple timestamps (0,6 - 6,12 - 0,24 etc)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include ethylene treatment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