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5"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من الناحية </w:t>
      </w:r>
      <w:proofErr w:type="spellStart"/>
      <w:r>
        <w:rPr>
          <w:rFonts w:ascii="Arial" w:eastAsia="Times New Roman" w:hAnsi="Arial" w:cs="Arial"/>
          <w:color w:val="202122"/>
          <w:sz w:val="23"/>
          <w:szCs w:val="23"/>
          <w:rtl/>
        </w:rPr>
        <w:t>المفاهيمية</w:t>
      </w:r>
      <w:proofErr w:type="spellEnd"/>
      <w:r>
        <w:rPr>
          <w:rFonts w:ascii="Arial" w:eastAsia="Times New Roman" w:hAnsi="Arial" w:cs="Arial"/>
          <w:color w:val="202122"/>
          <w:sz w:val="23"/>
          <w:szCs w:val="23"/>
          <w:rtl/>
        </w:rPr>
        <w:t>،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 xml:space="preserve">تحليل المتطلبات: تحديد ما إذا كانت الشروط المعلنة واضحة وكاملة ومتسقة ولا لبس فيها، وحل أية </w:t>
      </w:r>
      <w:proofErr w:type="spellStart"/>
      <w:r>
        <w:rPr>
          <w:rFonts w:ascii="Arial" w:eastAsia="Times New Roman" w:hAnsi="Arial" w:cs="Arial" w:hint="cs"/>
          <w:color w:val="202122"/>
          <w:sz w:val="23"/>
          <w:szCs w:val="23"/>
          <w:rtl/>
        </w:rPr>
        <w:t>تعارضات</w:t>
      </w:r>
      <w:proofErr w:type="spellEnd"/>
      <w:r>
        <w:rPr>
          <w:rFonts w:ascii="Arial" w:eastAsia="Times New Roman" w:hAnsi="Arial" w:cs="Arial" w:hint="cs"/>
          <w:color w:val="202122"/>
          <w:sz w:val="23"/>
          <w:szCs w:val="23"/>
          <w:rtl/>
        </w:rPr>
        <w:t xml:space="preserve">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Pr>
          <w:rFonts w:ascii="Arial" w:eastAsia="Times New Roman" w:hAnsi="Arial" w:cs="Arial"/>
          <w:color w:val="202122"/>
          <w:sz w:val="23"/>
          <w:szCs w:val="23"/>
          <w:rtl/>
        </w:rPr>
        <w:t>التجارية.متطلبات</w:t>
      </w:r>
      <w:proofErr w:type="spellEnd"/>
      <w:r>
        <w:rPr>
          <w:rFonts w:ascii="Arial" w:eastAsia="Times New Roman" w:hAnsi="Arial" w:cs="Arial"/>
          <w:color w:val="202122"/>
          <w:sz w:val="23"/>
          <w:szCs w:val="23"/>
          <w:rtl/>
        </w:rPr>
        <w:t xml:space="preserve">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6"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7"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Pr>
          <w:rFonts w:ascii="Arial" w:eastAsia="Times New Roman" w:hAnsi="Arial" w:cs="Arial"/>
          <w:color w:val="202122"/>
          <w:sz w:val="23"/>
          <w:szCs w:val="23"/>
          <w:rtl/>
        </w:rPr>
        <w:t>المحلل.وسوف</w:t>
      </w:r>
      <w:proofErr w:type="spellEnd"/>
      <w:r>
        <w:rPr>
          <w:rFonts w:ascii="Arial" w:eastAsia="Times New Roman" w:hAnsi="Arial" w:cs="Arial"/>
          <w:color w:val="202122"/>
          <w:sz w:val="23"/>
          <w:szCs w:val="23"/>
          <w:rtl/>
        </w:rPr>
        <w:t xml:space="preserve">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proofErr w:type="spellStart"/>
      <w:r>
        <w:rPr>
          <w:rFonts w:ascii="Arial" w:eastAsia="Times New Roman" w:hAnsi="Arial" w:cs="Arial" w:hint="cs"/>
          <w:color w:val="202122"/>
          <w:sz w:val="23"/>
          <w:szCs w:val="23"/>
          <w:rtl/>
        </w:rPr>
        <w:t>ألاشخاص</w:t>
      </w:r>
      <w:proofErr w:type="spellEnd"/>
      <w:r>
        <w:rPr>
          <w:rFonts w:ascii="Arial" w:eastAsia="Times New Roman" w:hAnsi="Arial" w:cs="Arial" w:hint="cs"/>
          <w:color w:val="202122"/>
          <w:sz w:val="23"/>
          <w:szCs w:val="23"/>
          <w:rtl/>
        </w:rPr>
        <w:t xml:space="preserve">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8"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Pr>
          <w:rFonts w:ascii="Arial" w:eastAsia="Times New Roman" w:hAnsi="Arial" w:cs="Arial"/>
          <w:color w:val="202122"/>
          <w:sz w:val="23"/>
          <w:szCs w:val="23"/>
          <w:rtl/>
        </w:rPr>
        <w:t>القابله</w:t>
      </w:r>
      <w:proofErr w:type="spellEnd"/>
      <w:r>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9"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0"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Pr>
          <w:rFonts w:ascii="Arial" w:eastAsia="Times New Roman" w:hAnsi="Arial" w:cs="Arial"/>
          <w:color w:val="202122"/>
          <w:sz w:val="23"/>
          <w:szCs w:val="23"/>
          <w:rtl/>
        </w:rPr>
        <w:t>كماثبت</w:t>
      </w:r>
      <w:proofErr w:type="spellEnd"/>
      <w:r>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1"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2"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Pr>
          <w:rFonts w:ascii="Arial" w:eastAsia="Times New Roman" w:hAnsi="Arial" w:cs="Arial" w:hint="cs"/>
          <w:color w:val="202122"/>
          <w:sz w:val="23"/>
          <w:szCs w:val="23"/>
          <w:rtl/>
        </w:rPr>
        <w:t>القوائميعاملون</w:t>
      </w:r>
      <w:proofErr w:type="spellEnd"/>
      <w:r>
        <w:rPr>
          <w:rFonts w:ascii="Arial" w:eastAsia="Times New Roman" w:hAnsi="Arial" w:cs="Arial" w:hint="cs"/>
          <w:color w:val="202122"/>
          <w:sz w:val="23"/>
          <w:szCs w:val="23"/>
          <w:rtl/>
        </w:rPr>
        <w:t xml:space="preserve"> كعقد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3"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4"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r>
        <w:rPr>
          <w:rFonts w:ascii="Arial" w:eastAsia="Times New Roman" w:hAnsi="Arial" w:cs="Arial"/>
          <w:color w:val="202122"/>
          <w:sz w:val="23"/>
          <w:szCs w:val="23"/>
          <w:rtl/>
        </w:rPr>
        <w:t xml:space="preserve"> </w:t>
      </w:r>
      <w:proofErr w:type="spellStart"/>
      <w:r>
        <w:rPr>
          <w:rFonts w:ascii="Arial" w:eastAsia="Times New Roman" w:hAnsi="Arial" w:cs="Arial"/>
          <w:color w:val="202122"/>
          <w:sz w:val="23"/>
          <w:szCs w:val="23"/>
          <w:rtl/>
        </w:rPr>
        <w:t>النمذجة</w:t>
      </w:r>
      <w:proofErr w:type="spellEnd"/>
    </w:p>
    <w:p w:rsidR="003922ED" w:rsidRDefault="00591F82" w:rsidP="00591F82">
      <w:pPr>
        <w:rPr>
          <w:rtl/>
        </w:rPr>
      </w:pPr>
      <w:r>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Pr>
          <w:rFonts w:ascii="Arial" w:eastAsia="Times New Roman" w:hAnsi="Arial" w:cs="Arial"/>
          <w:color w:val="202122"/>
          <w:sz w:val="23"/>
          <w:szCs w:val="23"/>
          <w:rtl/>
        </w:rPr>
        <w:t>المقيسة</w:t>
      </w:r>
      <w:proofErr w:type="spellEnd"/>
      <w:r>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Pr>
          <w:rFonts w:ascii="Arial" w:eastAsia="Times New Roman" w:hAnsi="Arial" w:cs="Arial"/>
          <w:color w:val="202122"/>
          <w:sz w:val="23"/>
          <w:szCs w:val="23"/>
          <w:rtl/>
        </w:rPr>
        <w:t>الفعليه</w:t>
      </w:r>
      <w:proofErr w:type="spellEnd"/>
      <w:r>
        <w:rPr>
          <w:rFonts w:ascii="Arial" w:eastAsia="Times New Roman" w:hAnsi="Arial" w:cs="Arial"/>
          <w:color w:val="202122"/>
          <w:sz w:val="23"/>
          <w:szCs w:val="23"/>
          <w:rtl/>
        </w:rPr>
        <w:t xml:space="preserve"> قبل المشروع</w:t>
      </w:r>
    </w:p>
    <w:p w:rsidR="00024CFF" w:rsidRDefault="00024CFF" w:rsidP="00591F82">
      <w:pPr>
        <w:rPr>
          <w:rtl/>
        </w:rPr>
      </w:pPr>
    </w:p>
    <w:p w:rsidR="00024CFF" w:rsidRPr="00D25F91" w:rsidRDefault="00024CFF" w:rsidP="00024CFF">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حالات الاستخدام</w:t>
      </w:r>
      <w:r w:rsidRPr="00D25F91">
        <w:rPr>
          <w:rFonts w:ascii="Arial" w:eastAsia="Times New Roman" w:hAnsi="Arial" w:cs="Arial"/>
          <w:color w:val="54595D"/>
          <w:sz w:val="24"/>
          <w:szCs w:val="24"/>
        </w:rPr>
        <w:t>[</w:t>
      </w:r>
      <w:hyperlink r:id="rId15"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حالة استخدام بنية لتوثيق المتطلبات الوظيفية لنظام، وعادة ما تتضمن البرامج، سواء كانت جديدة أو يجري </w:t>
      </w:r>
      <w:proofErr w:type="spellStart"/>
      <w:r w:rsidRPr="00D25F91">
        <w:rPr>
          <w:rFonts w:ascii="Arial" w:eastAsia="Times New Roman" w:hAnsi="Arial" w:cs="Arial"/>
          <w:color w:val="202122"/>
          <w:sz w:val="23"/>
          <w:szCs w:val="23"/>
          <w:rtl/>
        </w:rPr>
        <w:t>تغييرها.ويوفر</w:t>
      </w:r>
      <w:proofErr w:type="spellEnd"/>
      <w:r w:rsidRPr="00D25F91">
        <w:rPr>
          <w:rFonts w:ascii="Arial" w:eastAsia="Times New Roman" w:hAnsi="Arial" w:cs="Arial"/>
          <w:color w:val="202122"/>
          <w:sz w:val="23"/>
          <w:szCs w:val="23"/>
          <w:rtl/>
        </w:rPr>
        <w:t xml:space="preserve">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024CFF" w:rsidRDefault="00024CFF" w:rsidP="00024CFF">
      <w:pPr>
        <w:rPr>
          <w:rtl/>
        </w:rPr>
      </w:pPr>
      <w:r w:rsidRPr="00D25F91">
        <w:rPr>
          <w:rFonts w:ascii="Arial" w:eastAsia="Times New Roman" w:hAnsi="Arial" w:cs="Arial"/>
          <w:color w:val="202122"/>
          <w:sz w:val="23"/>
          <w:szCs w:val="23"/>
          <w:rtl/>
        </w:rPr>
        <w:t xml:space="preserve">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w:t>
      </w:r>
      <w:r w:rsidR="00EC363E">
        <w:rPr>
          <w:rFonts w:ascii="Arial" w:eastAsia="Times New Roman" w:hAnsi="Arial" w:cs="Arial" w:hint="cs"/>
          <w:color w:val="202122"/>
          <w:sz w:val="23"/>
          <w:szCs w:val="23"/>
          <w:rtl/>
        </w:rPr>
        <w:t xml:space="preserve">  </w:t>
      </w:r>
      <w:r w:rsidRPr="00D25F91">
        <w:rPr>
          <w:rFonts w:ascii="Arial" w:eastAsia="Times New Roman" w:hAnsi="Arial" w:cs="Arial"/>
          <w:color w:val="202122"/>
          <w:sz w:val="23"/>
          <w:szCs w:val="23"/>
          <w:rtl/>
        </w:rPr>
        <w:t>مهمة</w:t>
      </w:r>
      <w:r w:rsidR="00EC363E">
        <w:rPr>
          <w:rFonts w:hint="cs"/>
          <w:rtl/>
        </w:rPr>
        <w:t xml:space="preserve">   </w:t>
      </w:r>
    </w:p>
    <w:p w:rsidR="008E0AB4" w:rsidRDefault="008E0AB4" w:rsidP="008E0AB4">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محاولة الحلول</w:t>
      </w:r>
      <w:r>
        <w:rPr>
          <w:rFonts w:ascii="Arial" w:eastAsia="Times New Roman" w:hAnsi="Arial" w:cs="Arial"/>
          <w:color w:val="54595D"/>
          <w:sz w:val="24"/>
          <w:szCs w:val="24"/>
        </w:rPr>
        <w:t>[</w:t>
      </w:r>
      <w:hyperlink r:id="rId16" w:tooltip="عدل القسم: محاولة الحلو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lastRenderedPageBreak/>
        <w:t>قد تم حل محاولة واحدة لمشاكل الاتصالات توظيف متخصصين في الأعمال التجارية أو تحليل النظام</w:t>
      </w:r>
      <w:r>
        <w:rPr>
          <w:rFonts w:ascii="Arial" w:eastAsia="Times New Roman" w:hAnsi="Arial" w:cs="Arial"/>
          <w:color w:val="202122"/>
          <w:sz w:val="23"/>
          <w:szCs w:val="23"/>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التقنيات التي أدخلت في التسعينات مثل النماذج الموحدة </w:t>
      </w:r>
      <w:proofErr w:type="spellStart"/>
      <w:r>
        <w:rPr>
          <w:rFonts w:ascii="Arial" w:eastAsia="Times New Roman" w:hAnsi="Arial" w:cs="Arial"/>
          <w:color w:val="202122"/>
          <w:sz w:val="23"/>
          <w:szCs w:val="23"/>
          <w:rtl/>
        </w:rPr>
        <w:t>للنمذجة</w:t>
      </w:r>
      <w:proofErr w:type="spellEnd"/>
      <w:r>
        <w:rPr>
          <w:rFonts w:ascii="Arial" w:eastAsia="Times New Roman" w:hAnsi="Arial" w:cs="Arial"/>
          <w:color w:val="202122"/>
          <w:sz w:val="23"/>
          <w:szCs w:val="23"/>
          <w:rtl/>
        </w:rPr>
        <w:t xml:space="preserve"> اللغة</w:t>
      </w:r>
      <w:r>
        <w:rPr>
          <w:rFonts w:ascii="Arial" w:eastAsia="Times New Roman" w:hAnsi="Arial" w:cs="Arial"/>
          <w:color w:val="202122"/>
          <w:sz w:val="23"/>
          <w:szCs w:val="23"/>
        </w:rPr>
        <w:t xml:space="preserve"> (UML)</w:t>
      </w:r>
      <w:r>
        <w:rPr>
          <w:rFonts w:ascii="Arial" w:eastAsia="Times New Roman" w:hAnsi="Arial" w:cs="Arial" w:hint="cs"/>
          <w:color w:val="202122"/>
          <w:sz w:val="23"/>
          <w:szCs w:val="23"/>
          <w:rtl/>
        </w:rPr>
        <w:t>، حالات الاستخدام، وتطوير البرمجيات و يقصد أيضا كحلول للمشاكل التي تواجهها مع الأساليب السابقة</w:t>
      </w:r>
      <w:r>
        <w:rPr>
          <w:rFonts w:ascii="Arial" w:eastAsia="Times New Roman" w:hAnsi="Arial" w:cs="Arial"/>
          <w:color w:val="202122"/>
          <w:sz w:val="23"/>
          <w:szCs w:val="23"/>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أيضا، دخلت فئة جديدة لمحاكاة تطبيق أو تطبيق تعريف أدوات السوق. تم تصميم هذه الأدوات سد فجوة الاتصال </w:t>
      </w:r>
      <w:proofErr w:type="spellStart"/>
      <w:r>
        <w:rPr>
          <w:rFonts w:ascii="Arial" w:eastAsia="Times New Roman" w:hAnsi="Arial" w:cs="Arial"/>
          <w:color w:val="202122"/>
          <w:sz w:val="23"/>
          <w:szCs w:val="23"/>
          <w:rtl/>
        </w:rPr>
        <w:t>بينالمستخدمين</w:t>
      </w:r>
      <w:proofErr w:type="spellEnd"/>
      <w:r>
        <w:rPr>
          <w:rFonts w:ascii="Arial" w:eastAsia="Times New Roman" w:hAnsi="Arial" w:cs="Arial"/>
          <w:color w:val="202122"/>
          <w:sz w:val="23"/>
          <w:szCs w:val="23"/>
          <w:rtl/>
        </w:rPr>
        <w:t xml:space="preserve"> من رجال الأعمال، وتنظيم تكنولوجيا المعلومات – وأيضا للسماح للتطبيقات تكون 'اختبار يتم تسويقه' </w:t>
      </w:r>
      <w:proofErr w:type="spellStart"/>
      <w:r>
        <w:rPr>
          <w:rFonts w:ascii="Arial" w:eastAsia="Times New Roman" w:hAnsi="Arial" w:cs="Arial"/>
          <w:color w:val="202122"/>
          <w:sz w:val="23"/>
          <w:szCs w:val="23"/>
          <w:rtl/>
        </w:rPr>
        <w:t>قبلأن</w:t>
      </w:r>
      <w:proofErr w:type="spellEnd"/>
      <w:r>
        <w:rPr>
          <w:rFonts w:ascii="Arial" w:eastAsia="Times New Roman" w:hAnsi="Arial" w:cs="Arial"/>
          <w:color w:val="202122"/>
          <w:sz w:val="23"/>
          <w:szCs w:val="23"/>
          <w:rtl/>
        </w:rPr>
        <w:t xml:space="preserve"> يتم إنتاج أية تعليمات برمجية. نقدم الأفضل من هذه الأدوات</w:t>
      </w:r>
      <w:r>
        <w:rPr>
          <w:rFonts w:ascii="Arial" w:eastAsia="Times New Roman" w:hAnsi="Arial" w:cs="Arial"/>
          <w:color w:val="202122"/>
          <w:sz w:val="23"/>
          <w:szCs w:val="23"/>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ألواح الكتابة الإلكترونية رسم تدفقات تطبيق واختبار البدائل</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على التعرف على احتياجات المنطق وبيانات الأعمال</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على إنشاء نماذج عالية الدقة أن يقلد عن كثب التطبيق النهائي التفاعل</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على إضافة متطلبات السياقية وتعليقات أخرى</w:t>
      </w:r>
    </w:p>
    <w:p w:rsidR="006D0A41" w:rsidRDefault="006D0A41" w:rsidP="008E0AB4">
      <w:pPr>
        <w:shd w:val="clear" w:color="auto" w:fill="FFFFFF"/>
        <w:bidi w:val="0"/>
        <w:spacing w:before="120" w:after="120" w:line="384" w:lineRule="atLeast"/>
        <w:jc w:val="right"/>
        <w:rPr>
          <w:rFonts w:ascii="Arial" w:eastAsia="Times New Roman" w:hAnsi="Arial" w:cs="Arial"/>
          <w:color w:val="202122"/>
          <w:sz w:val="23"/>
          <w:szCs w:val="23"/>
        </w:rPr>
      </w:pPr>
    </w:p>
    <w:p w:rsidR="008E0AB4" w:rsidRDefault="008E0AB4" w:rsidP="006D0A41">
      <w:pPr>
        <w:shd w:val="clear" w:color="auto" w:fill="FFFFFF"/>
        <w:bidi w:val="0"/>
        <w:spacing w:before="120" w:after="120" w:line="384" w:lineRule="atLeast"/>
        <w:jc w:val="right"/>
        <w:rPr>
          <w:rFonts w:ascii="Arial" w:eastAsia="Times New Roman" w:hAnsi="Arial" w:cs="Arial"/>
          <w:color w:val="202122"/>
          <w:sz w:val="23"/>
          <w:szCs w:val="23"/>
        </w:rPr>
      </w:pPr>
      <w:bookmarkStart w:id="0" w:name="_GoBack"/>
      <w:bookmarkEnd w:id="0"/>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للمستخدمين البعيد والموزعة تشغيل وتتفاعل مع المحاكاة</w:t>
      </w:r>
    </w:p>
    <w:p w:rsidR="008E0AB4" w:rsidRPr="008E0AB4" w:rsidRDefault="008E0AB4" w:rsidP="00024CFF"/>
    <w:sectPr w:rsidR="008E0AB4" w:rsidRPr="008E0AB4"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024CFF"/>
    <w:rsid w:val="003922ED"/>
    <w:rsid w:val="004047A3"/>
    <w:rsid w:val="00591F82"/>
    <w:rsid w:val="005F641A"/>
    <w:rsid w:val="006D0A41"/>
    <w:rsid w:val="007344CF"/>
    <w:rsid w:val="008E0AB4"/>
    <w:rsid w:val="00A2562D"/>
    <w:rsid w:val="00EC3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389">
      <w:bodyDiv w:val="1"/>
      <w:marLeft w:val="0"/>
      <w:marRight w:val="0"/>
      <w:marTop w:val="0"/>
      <w:marBottom w:val="0"/>
      <w:divBdr>
        <w:top w:val="none" w:sz="0" w:space="0" w:color="auto"/>
        <w:left w:val="none" w:sz="0" w:space="0" w:color="auto"/>
        <w:bottom w:val="none" w:sz="0" w:space="0" w:color="auto"/>
        <w:right w:val="none" w:sz="0" w:space="0" w:color="auto"/>
      </w:divBdr>
    </w:div>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ar.wikipedia.org/w/index.php?title=%D9%85%D8%AA%D8%B7%D9%84%D8%A8%D8%A7%D8%AA_%D8%A7%D9%84%D8%AA%D8%AD%D9%84%D9%8A%D9%84&amp;action=edit&amp;section=18" TargetMode="Externa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2" TargetMode="Externa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10</cp:revision>
  <dcterms:created xsi:type="dcterms:W3CDTF">2020-06-24T01:04:00Z</dcterms:created>
  <dcterms:modified xsi:type="dcterms:W3CDTF">2020-06-24T08:40:00Z</dcterms:modified>
</cp:coreProperties>
</file>