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w="http://schemas.openxmlformats.org/wordprocessingml/2006/main" xmlns:r="http://schemas.openxmlformats.org/officeDocument/2006/relationships">
  <w:body>
    <w:p>
      <w:pPr>
        <w:pStyle w:val="Normal"/>
        <w:spacing w:before="240" w:after="0"/>
      </w:pPr>
      <w:r>
        <w:rPr>
          <w:rFonts w:ascii="Times New Roman" w:hAnsi="Times New Roman"/>
          <w:sz w:val="24"/>
          <w:szCs w:val="24"/>
        </w:rPr>
        <w:t xml:space="preserve"/>
      </w:r>
    </w:p>
    <w:p>
      <w:pPr>
        <w:pStyle w:val="Normal"/>
        <w:spacing w:before="0" w:after="60"/>
      </w:pPr>
      <w:r>
        <w:rPr>
          <w:rFonts w:ascii="Times New Roman" w:hAnsi="Times New Roman"/>
          <w:b/>
          <w:color w:val="0D3D91"/>
          <w:sz w:val="40"/>
          <w:szCs w:val="40"/>
        </w:rPr>
        <w:t xml:space="preserve">HƯỚNG DẪN SỬ DỤNG DASHBOARD</w:t>
      </w:r>
    </w:p>
    <w:p>
      <w:pPr>
        <w:pStyle w:val="Normal"/>
        <w:spacing w:before="0" w:after="60"/>
      </w:pPr>
      <w:r>
        <w:rPr>
          <w:rFonts w:ascii="Times New Roman" w:hAnsi="Times New Roman"/>
          <w:color w:val="555555"/>
          <w:sz w:val="28"/>
          <w:szCs w:val="28"/>
        </w:rPr>
        <w:t xml:space="preserve">Promotion Experimentation Sandbox — GSM</w:t>
      </w:r>
    </w:p>
    <w:p>
      <w:pPr>
        <w:pStyle w:val="Normal"/>
        <w:spacing w:before="0" w:after="80"/>
      </w:pPr>
      <w:r>
        <w:rPr>
          <w:rFonts w:ascii="Times New Roman" w:hAnsi="Times New Roman"/>
          <w:color w:val="888888"/>
          <w:sz w:val="22"/>
          <w:szCs w:val="22"/>
        </w:rPr>
        <w:t xml:space="preserve">Phiên bản: Tháng 8/2026  |  Thai Bui Van — Data Science Intern</w:t>
      </w:r>
    </w:p>
    <w:p>
      <w:pPr>
        <w:pStyle w:val="Normal"/>
        <w:spacing w:before="60" w:after="80"/>
      </w:pPr>
      <w:r>
        <w:rPr>
          <w:rFonts w:ascii="Times New Roman" w:hAnsi="Times New Roman"/>
          <w:sz w:val="22"/>
          <w:szCs w:val="22"/>
        </w:rPr>
        <w:t xml:space="preserve">Truy cập Dashboard: https://gsm-promotion-experimentation.streamlit.app</w:t>
      </w:r>
    </w:p>
    <w:p>
      <w:pPr>
        <w:pBdr>
          <w:bottom w:val="single" w:sz="6" w:space="1" w:color="CCCCCC"/>
        </w:pBdr>
      </w:pPr>
    </w:p>
    <w:p>
      <w:pPr>
        <w:pStyle w:val="Heading1"/>
        <w:spacing w:before="360" w:after="120"/>
      </w:pPr>
      <w:r>
        <w:rPr>
          <w:rFonts w:ascii="Times New Roman" w:hAnsi="Times New Roman"/>
          <w:b/>
          <w:color w:val="0D3D91"/>
          <w:sz w:val="32"/>
          <w:szCs w:val="32"/>
        </w:rPr>
        <w:t xml:space="preserve">1. Tổng quan</w:t>
      </w:r>
    </w:p>
    <w:p>
      <w:pPr>
        <w:pStyle w:val="Normal"/>
        <w:spacing w:before="0" w:after="80"/>
      </w:pPr>
      <w:r>
        <w:rPr>
          <w:rFonts w:ascii="Times New Roman" w:hAnsi="Times New Roman"/>
          <w:sz w:val="22"/>
          <w:szCs w:val="22"/>
        </w:rPr>
        <w:t xml:space="preserve">Dashboard là giao diện hỗ trợ ra quyết định cho bài toán phân bổ voucher khuyến mãi trong dịch vụ gọi xe. Đây là một môi trường mô phỏng (Synthetic Sandbox) — toàn bộ dữ liệu đều là dữ liệu giả lập để kiểm tra quy trình ra quyết định, không phải dữ liệu vận hành thực tế của GSM.</w:t>
      </w:r>
    </w:p>
    <w:p>
      <w:pPr>
        <w:pStyle w:val="Normal"/>
        <w:spacing w:before="0" w:after="40"/>
      </w:pPr>
      <w:r>
        <w:rPr>
          <w:rFonts w:ascii="Times New Roman" w:hAnsi="Times New Roman"/>
          <w:sz w:val="22"/>
          <w:szCs w:val="22"/>
        </w:rPr>
        <w:t xml:space="preserve">Dashboard giúp PM và Mentor có thể:</w:t>
      </w:r>
    </w:p>
    <w:p>
      <w:pPr>
        <w:ind w:left="720" w:hanging="360"/>
        <w:spacing w:after="60"/>
      </w:pPr>
      <w:r>
        <w:rPr>
          <w:rFonts w:ascii="Times New Roman" w:hAnsi="Times New Roman"/>
          <w:sz w:val="22"/>
          <w:szCs w:val="22"/>
        </w:rPr>
        <w:t xml:space="preserve">• Kiểm tra các giả định kinh tế (chi phí voucher, biên lợi nhuận) bằng cách kéo thả thanh điều chỉnh.</w:t>
      </w:r>
    </w:p>
    <w:p>
      <w:pPr>
        <w:ind w:left="720" w:hanging="360"/>
        <w:spacing w:after="60"/>
      </w:pPr>
      <w:r>
        <w:rPr>
          <w:rFonts w:ascii="Times New Roman" w:hAnsi="Times New Roman"/>
          <w:sz w:val="22"/>
          <w:szCs w:val="22"/>
        </w:rPr>
        <w:t xml:space="preserve">• So sánh hiệu quả của 5 chiến lược phân bổ voucher khác nhau.</w:t>
      </w:r>
    </w:p>
    <w:p>
      <w:pPr>
        <w:ind w:left="720" w:hanging="360"/>
        <w:spacing w:after="60"/>
      </w:pPr>
      <w:r>
        <w:rPr>
          <w:rFonts w:ascii="Times New Roman" w:hAnsi="Times New Roman"/>
          <w:sz w:val="22"/>
          <w:szCs w:val="22"/>
        </w:rPr>
        <w:t xml:space="preserve">• Xem bằng chứng thống kê chứng minh voucher có thực sự tạo thêm nhu cầu không.</w:t>
      </w:r>
    </w:p>
    <w:p>
      <w:pPr>
        <w:ind w:left="720" w:hanging="360"/>
        <w:spacing w:after="60"/>
      </w:pPr>
      <w:r>
        <w:rPr>
          <w:rFonts w:ascii="Times New Roman" w:hAnsi="Times New Roman"/>
          <w:sz w:val="22"/>
          <w:szCs w:val="22"/>
        </w:rPr>
        <w:t xml:space="preserve">• Tìm ra nhóm khách hàng nên nhận voucher để tối ưu lợi nhuận.</w:t>
      </w:r>
    </w:p>
    <w:p>
      <w:pPr>
        <w:pStyle w:val="Heading1"/>
        <w:spacing w:before="360" w:after="120"/>
      </w:pPr>
      <w:r>
        <w:rPr>
          <w:rFonts w:ascii="Times New Roman" w:hAnsi="Times New Roman"/>
          <w:b/>
          <w:color w:val="0D3D91"/>
          <w:sz w:val="32"/>
          <w:szCs w:val="32"/>
        </w:rPr>
        <w:t xml:space="preserve">2. Các giả định trong Sandbox</w:t>
      </w:r>
    </w:p>
    <w:p>
      <w:pPr>
        <w:pStyle w:val="Normal"/>
        <w:spacing w:before="0" w:after="40"/>
      </w:pPr>
      <w:r>
        <w:rPr>
          <w:rFonts w:ascii="Times New Roman" w:hAnsi="Times New Roman"/>
          <w:sz w:val="22"/>
          <w:szCs w:val="22"/>
        </w:rPr>
        <w:t xml:space="preserve">Toàn bộ kết quả trên Dashboard đều dựa trên các giả định mô phỏng dưới đây. PM có thể thay đổi các thông số này ngay trên Tab 4.</w:t>
      </w:r>
    </w:p>
    <w:p>
      <w:pPr>
        <w:ind w:left="720" w:hanging="360"/>
        <w:spacing w:after="60"/>
      </w:pPr>
      <w:r>
        <w:rPr>
          <w:rFonts w:ascii="Times New Roman" w:hAnsi="Times New Roman"/>
          <w:sz w:val="22"/>
          <w:szCs w:val="22"/>
        </w:rPr>
        <w:t xml:space="preserve">• Chi phí voucher: 15% giá cước mỗi chuyến, không giới hạn tối đa.</w:t>
      </w:r>
    </w:p>
    <w:p>
      <w:pPr>
        <w:ind w:left="720" w:hanging="360"/>
        <w:spacing w:after="60"/>
      </w:pPr>
      <w:r>
        <w:rPr>
          <w:rFonts w:ascii="Times New Roman" w:hAnsi="Times New Roman"/>
          <w:sz w:val="22"/>
          <w:szCs w:val="22"/>
        </w:rPr>
        <w:t xml:space="preserve">• Biên lợi nhuận đóng góp: 70% giá cước.</w:t>
      </w:r>
    </w:p>
    <w:p>
      <w:pPr>
        <w:ind w:left="720" w:hanging="360"/>
        <w:spacing w:after="60"/>
      </w:pPr>
      <w:r>
        <w:rPr>
          <w:rFonts w:ascii="Times New Roman" w:hAnsi="Times New Roman"/>
          <w:sz w:val="22"/>
          <w:szCs w:val="22"/>
        </w:rPr>
        <w:t xml:space="preserve">• Ngân sách mặc định: $50,000 / chiến dịch.</w:t>
      </w:r>
    </w:p>
    <w:p>
      <w:pPr>
        <w:ind w:left="720" w:hanging="360"/>
        <w:spacing w:after="60"/>
      </w:pPr>
      <w:r>
        <w:rPr>
          <w:rFonts w:ascii="Times New Roman" w:hAnsi="Times New Roman"/>
          <w:sz w:val="22"/>
          <w:szCs w:val="22"/>
        </w:rPr>
        <w:t xml:space="preserve">• Quy mô mô phỏng: 20,000 khách hàng trong chu kỳ 30 ngày.</w:t>
      </w:r>
    </w:p>
    <w:p>
      <w:pPr>
        <w:ind w:left="360"/>
        <w:spacing w:before="60" w:after="60"/>
      </w:pPr>
      <w:r>
        <w:rPr>
          <w:rFonts w:ascii="Times New Roman" w:hAnsi="Times New Roman"/>
          <w:b/>
          <w:color w:val="C0392B"/>
          <w:sz w:val="22"/>
          <w:szCs w:val="22"/>
        </w:rPr>
        <w:t xml:space="preserve">⚠ Lưu ý: </w:t>
      </w:r>
      <w:r>
        <w:rPr>
          <w:rFonts w:ascii="Times New Roman" w:hAnsi="Times New Roman"/>
          <w:i/>
          <w:color w:val="C0392B"/>
          <w:sz w:val="22"/>
          <w:szCs w:val="22"/>
        </w:rPr>
        <w:t xml:space="preserve">Đây là giả định kỹ thuật để kiểm tra logic, không phải chính sách GSM. Các con số thực tế cần được Business xác nhận trước khi triển khai thí nghiệm thật.</w:t>
      </w:r>
    </w:p>
    <w:p>
      <w:pPr>
        <w:pStyle w:val="Heading1"/>
        <w:spacing w:before="360" w:after="120"/>
      </w:pPr>
      <w:r>
        <w:rPr>
          <w:rFonts w:ascii="Times New Roman" w:hAnsi="Times New Roman"/>
          <w:b/>
          <w:color w:val="0D3D91"/>
          <w:sz w:val="32"/>
          <w:szCs w:val="32"/>
        </w:rPr>
        <w:t xml:space="preserve">3. Hướng dẫn từng Tab</w:t>
      </w:r>
    </w:p>
    <w:p>
      <w:pPr>
        <w:pStyle w:val="Heading2"/>
        <w:spacing w:before="240" w:after="80"/>
      </w:pPr>
      <w:r>
        <w:rPr>
          <w:rFonts w:ascii="Times New Roman" w:hAnsi="Times New Roman"/>
          <w:b/>
          <w:color w:val="1A6BC8"/>
          <w:sz w:val="26"/>
          <w:szCs w:val="26"/>
        </w:rPr>
        <w:t xml:space="preserve">Tab 1 — Bài toán kinh doanh</w:t>
      </w:r>
    </w:p>
    <w:p>
      <w:pPr>
        <w:pStyle w:val="Normal"/>
        <w:spacing w:before="0" w:after="40"/>
      </w:pPr>
      <w:r>
        <w:rPr>
          <w:rFonts w:ascii="Times New Roman" w:hAnsi="Times New Roman"/>
          <w:sz w:val="22"/>
          <w:szCs w:val="22"/>
        </w:rPr>
        <w:t xml:space="preserve">Tab này trả lời câu hỏi: 'Phát voucher đại trà có tạo thêm lợi nhuận không?'</w:t>
      </w:r>
    </w:p>
    <w:p>
      <w:pPr>
        <w:ind w:left="720" w:hanging="360"/>
        <w:spacing w:after="60"/>
      </w:pPr>
      <w:r>
        <w:rPr>
          <w:rFonts w:ascii="Times New Roman" w:hAnsi="Times New Roman"/>
          <w:sz w:val="22"/>
          <w:szCs w:val="22"/>
        </w:rPr>
        <w:t xml:space="preserve">• Bảng 5 chỉ số: Số chuyến xe tăng thêm → Doanh thu tăng thêm → Tổng chi phí voucher → Lợi nhuận ròng → ROI tổng thể.</w:t>
      </w:r>
    </w:p>
    <w:p>
      <w:pPr>
        <w:ind w:left="720" w:hanging="360"/>
        <w:spacing w:after="60"/>
      </w:pPr>
      <w:r>
        <w:rPr>
          <w:rFonts w:ascii="Times New Roman" w:hAnsi="Times New Roman"/>
          <w:sz w:val="22"/>
          <w:szCs w:val="22"/>
        </w:rPr>
        <w:t xml:space="preserve">• Biểu đồ Waterfall minh họa tại sao lợi nhuận gộp tăng thêm vẫn không đủ bù chi phí voucher.</w:t>
      </w:r>
    </w:p>
    <w:p>
      <w:pPr>
        <w:ind w:left="720" w:hanging="360"/>
        <w:spacing w:after="60"/>
      </w:pPr>
      <w:r>
        <w:rPr>
          <w:rFonts w:ascii="Times New Roman" w:hAnsi="Times New Roman"/>
          <w:sz w:val="22"/>
          <w:szCs w:val="22"/>
        </w:rPr>
        <w:t xml:space="preserve">• Kết luận mặc định: Phát voucher đại trà tạo thêm chuyến đi nhưng lợi nhuận vẫn âm — cần cá nhân hóa.</w:t>
      </w:r>
    </w:p>
    <w:p>
      <w:pPr>
        <w:pStyle w:val="Heading2"/>
        <w:spacing w:before="240" w:after="80"/>
      </w:pPr>
      <w:r>
        <w:rPr>
          <w:rFonts w:ascii="Times New Roman" w:hAnsi="Times New Roman"/>
          <w:b/>
          <w:color w:val="1A6BC8"/>
          <w:sz w:val="26"/>
          <w:szCs w:val="26"/>
        </w:rPr>
        <w:t xml:space="preserve">Tab 2 — Bằng chứng nhân quả</w:t>
      </w:r>
    </w:p>
    <w:p>
      <w:pPr>
        <w:pStyle w:val="Normal"/>
        <w:spacing w:before="0" w:after="40"/>
      </w:pPr>
      <w:r>
        <w:rPr>
          <w:rFonts w:ascii="Times New Roman" w:hAnsi="Times New Roman"/>
          <w:sz w:val="22"/>
          <w:szCs w:val="22"/>
        </w:rPr>
        <w:t xml:space="preserve">Tab này xác nhận thí nghiệm được thực hiện đúng chuẩn khoa học trước khi đi vào cá nhân hóa.</w:t>
      </w:r>
    </w:p>
    <w:p>
      <w:pPr>
        <w:ind w:left="720" w:hanging="360"/>
        <w:spacing w:after="60"/>
      </w:pPr>
      <w:r>
        <w:rPr>
          <w:rFonts w:ascii="Times New Roman" w:hAnsi="Times New Roman"/>
          <w:sz w:val="22"/>
          <w:szCs w:val="22"/>
        </w:rPr>
        <w:t xml:space="preserve">• Cổng kiểm tra chất lượng: Đảm bảo 2 nhóm khách hàng (nhận/không nhận voucher) được chia đều và có đặc điểm tương đồng.</w:t>
      </w:r>
    </w:p>
    <w:p>
      <w:pPr>
        <w:ind w:left="720" w:hanging="360"/>
        <w:spacing w:after="60"/>
      </w:pPr>
      <w:r>
        <w:rPr>
          <w:rFonts w:ascii="Times New Roman" w:hAnsi="Times New Roman"/>
          <w:sz w:val="22"/>
          <w:szCs w:val="22"/>
        </w:rPr>
        <w:t xml:space="preserve">• Mức tăng trung bình (ATE): +0.95 chuyến/khách/30 ngày với khoảng tin cậy [0.76, 1.14] — hoàn toàn dương, có ý nghĩa thống kê.</w:t>
      </w:r>
    </w:p>
    <w:p>
      <w:pPr>
        <w:ind w:left="720" w:hanging="360"/>
        <w:spacing w:after="60"/>
      </w:pPr>
      <w:r>
        <w:rPr>
          <w:rFonts w:ascii="Times New Roman" w:hAnsi="Times New Roman"/>
          <w:sz w:val="22"/>
          <w:szCs w:val="22"/>
        </w:rPr>
        <w:t xml:space="preserve">• Bảng hiệu quả theo từng phân khúc: Phân khúc nào đi thêm nhiều chuyến nhất, phân khúc nào ROI âm nặng nhất.</w:t>
      </w:r>
    </w:p>
    <w:p>
      <w:pPr>
        <w:ind w:left="360"/>
        <w:spacing w:before="60" w:after="60"/>
      </w:pPr>
      <w:r>
        <w:rPr>
          <w:rFonts w:ascii="Times New Roman" w:hAnsi="Times New Roman"/>
          <w:b/>
          <w:color w:val="C0392B"/>
          <w:sz w:val="22"/>
          <w:szCs w:val="22"/>
        </w:rPr>
        <w:t xml:space="preserve">⚠ Lưu ý: </w:t>
      </w:r>
      <w:r>
        <w:rPr>
          <w:rFonts w:ascii="Times New Roman" w:hAnsi="Times New Roman"/>
          <w:i/>
          <w:color w:val="C0392B"/>
          <w:sz w:val="22"/>
          <w:szCs w:val="22"/>
        </w:rPr>
        <w:t xml:space="preserve">ROI trong bảng phân khúc dùng dữ liệu mô phỏng làm chuẩn so sánh, không phải ROI sản xuất thực tế.</w:t>
      </w:r>
    </w:p>
    <w:p>
      <w:pPr>
        <w:pStyle w:val="Heading2"/>
        <w:spacing w:before="240" w:after="80"/>
      </w:pPr>
      <w:r>
        <w:rPr>
          <w:rFonts w:ascii="Times New Roman" w:hAnsi="Times New Roman"/>
          <w:b/>
          <w:color w:val="1A6BC8"/>
          <w:sz w:val="26"/>
          <w:szCs w:val="26"/>
        </w:rPr>
        <w:t xml:space="preserve">Tab 3 — Ai nhạy cảm với voucher?</w:t>
      </w:r>
    </w:p>
    <w:p>
      <w:pPr>
        <w:pStyle w:val="Normal"/>
        <w:spacing w:before="0" w:after="40"/>
      </w:pPr>
      <w:r>
        <w:rPr>
          <w:rFonts w:ascii="Times New Roman" w:hAnsi="Times New Roman"/>
          <w:sz w:val="22"/>
          <w:szCs w:val="22"/>
        </w:rPr>
        <w:t xml:space="preserve">Tab này đi sâu hơn ATE, tìm ra từng khách hàng phản ứng với voucher theo cách khác nhau.</w:t>
      </w:r>
    </w:p>
    <w:p>
      <w:pPr>
        <w:ind w:left="720" w:hanging="360"/>
        <w:spacing w:after="60"/>
      </w:pPr>
      <w:r>
        <w:rPr>
          <w:rFonts w:ascii="Times New Roman" w:hAnsi="Times New Roman"/>
          <w:sz w:val="22"/>
          <w:szCs w:val="22"/>
        </w:rPr>
        <w:t xml:space="preserve">• Biểu đồ phân phối CATE: Mỗi cột là một nhóm khách hàng với mức tăng chuyến đi dự báo khác nhau.</w:t>
      </w:r>
    </w:p>
    <w:p>
      <w:pPr>
        <w:ind w:left="720" w:hanging="360"/>
        <w:spacing w:after="60"/>
      </w:pPr>
      <w:r>
        <w:rPr>
          <w:rFonts w:ascii="Times New Roman" w:hAnsi="Times New Roman"/>
          <w:sz w:val="22"/>
          <w:szCs w:val="22"/>
        </w:rPr>
        <w:t xml:space="preserve">• Đường Qini: So sánh hiệu quả xếp hạng khách hàng của mô hình AI vs phát ngẫu nhiên. Mô hình hiện tại đạt Qini = 0.188.</w:t>
      </w:r>
    </w:p>
    <w:p>
      <w:pPr>
        <w:ind w:left="720" w:hanging="360"/>
        <w:spacing w:after="60"/>
      </w:pPr>
      <w:r>
        <w:rPr>
          <w:rFonts w:ascii="Times New Roman" w:hAnsi="Times New Roman"/>
          <w:sz w:val="22"/>
          <w:szCs w:val="22"/>
        </w:rPr>
        <w:t xml:space="preserve">• Biểu đồ Expected Value: Chỉ ra rằng tăng chuyến không đồng nghĩa tăng lợi nhuận — phải trừ đi chi phí voucher.</w:t>
      </w:r>
    </w:p>
    <w:p>
      <w:pPr>
        <w:pStyle w:val="Heading2"/>
        <w:spacing w:before="240" w:after="80"/>
      </w:pPr>
      <w:r>
        <w:rPr>
          <w:rFonts w:ascii="Times New Roman" w:hAnsi="Times New Roman"/>
          <w:b/>
          <w:color w:val="1A6BC8"/>
          <w:sz w:val="26"/>
          <w:szCs w:val="26"/>
        </w:rPr>
        <w:t xml:space="preserve">Tab 4 — Mô phỏng chính sách (Tính năng chính)</w:t>
      </w:r>
    </w:p>
    <w:p>
      <w:pPr>
        <w:pStyle w:val="Normal"/>
        <w:spacing w:before="0" w:after="40"/>
      </w:pPr>
      <w:r>
        <w:rPr>
          <w:rFonts w:ascii="Times New Roman" w:hAnsi="Times New Roman"/>
          <w:sz w:val="22"/>
          <w:szCs w:val="22"/>
        </w:rPr>
        <w:t xml:space="preserve">Tab này là nơi PM thay đổi giả định và so sánh kết quả theo thời gian thực.</w:t>
      </w:r>
    </w:p>
    <w:p>
      <w:pPr>
        <w:ind w:left="720" w:hanging="360"/>
        <w:spacing w:after="60"/>
      </w:pPr>
      <w:r>
        <w:rPr>
          <w:rFonts w:ascii="Times New Roman" w:hAnsi="Times New Roman"/>
          <w:sz w:val="22"/>
          <w:szCs w:val="22"/>
        </w:rPr>
        <w:t xml:space="preserve">• Điều chỉnh: Mức chiết khấu voucher (%), biên lợi nhuận (%), ngân sách ($).</w:t>
      </w:r>
    </w:p>
    <w:p>
      <w:pPr>
        <w:ind w:left="720" w:hanging="360"/>
        <w:spacing w:after="60"/>
      </w:pPr>
      <w:r>
        <w:rPr>
          <w:rFonts w:ascii="Times New Roman" w:hAnsi="Times New Roman"/>
          <w:sz w:val="22"/>
          <w:szCs w:val="22"/>
        </w:rPr>
        <w:t xml:space="preserve">• 5 chính sách được so sánh đồng thời:</w:t>
      </w:r>
    </w:p>
    <w:p>
      <w:pPr>
        <w:ind w:left="720" w:hanging="360"/>
        <w:spacing w:after="60"/>
      </w:pPr>
      <w:r>
        <w:rPr>
          <w:rFonts w:ascii="Times New Roman" w:hAnsi="Times New Roman"/>
          <w:sz w:val="22"/>
          <w:szCs w:val="22"/>
        </w:rPr>
        <w:t xml:space="preserve">•    ① Không phát voucher (đường cơ sở).</w:t>
      </w:r>
    </w:p>
    <w:p>
      <w:pPr>
        <w:ind w:left="720" w:hanging="360"/>
        <w:spacing w:after="60"/>
      </w:pPr>
      <w:r>
        <w:rPr>
          <w:rFonts w:ascii="Times New Roman" w:hAnsi="Times New Roman"/>
          <w:sz w:val="22"/>
          <w:szCs w:val="22"/>
        </w:rPr>
        <w:t xml:space="preserve">•    ② Phát đại trà cho tất cả.</w:t>
      </w:r>
    </w:p>
    <w:p>
      <w:pPr>
        <w:ind w:left="720" w:hanging="360"/>
        <w:spacing w:after="60"/>
      </w:pPr>
      <w:r>
        <w:rPr>
          <w:rFonts w:ascii="Times New Roman" w:hAnsi="Times New Roman"/>
          <w:sz w:val="22"/>
          <w:szCs w:val="22"/>
        </w:rPr>
        <w:t xml:space="preserve">•    ③ Phát theo phân khúc ngoại thành.</w:t>
      </w:r>
    </w:p>
    <w:p>
      <w:pPr>
        <w:ind w:left="720" w:hanging="360"/>
        <w:spacing w:after="60"/>
      </w:pPr>
      <w:r>
        <w:rPr>
          <w:rFonts w:ascii="Times New Roman" w:hAnsi="Times New Roman"/>
          <w:sz w:val="22"/>
          <w:szCs w:val="22"/>
        </w:rPr>
        <w:t xml:space="preserve">•    ④ Phát cho 30% khách hàng phản ứng tốt nhất (Uplift Targeting).</w:t>
      </w:r>
    </w:p>
    <w:p>
      <w:pPr>
        <w:ind w:left="720" w:hanging="360"/>
        <w:spacing w:after="60"/>
      </w:pPr>
      <w:r>
        <w:rPr>
          <w:rFonts w:ascii="Times New Roman" w:hAnsi="Times New Roman"/>
          <w:sz w:val="22"/>
          <w:szCs w:val="22"/>
        </w:rPr>
        <w:t xml:space="preserve">•    ⑤ Chỉ phát cho những khách hàng kỳ vọng tạo ra lợi nhuận dương (Profit Targeting).</w:t>
      </w:r>
    </w:p>
    <w:p>
      <w:pPr>
        <w:pStyle w:val="Normal"/>
        <w:spacing w:before="0" w:after="80"/>
      </w:pPr>
      <w:r>
        <w:rPr>
          <w:rFonts w:ascii="Times New Roman" w:hAnsi="Times New Roman"/>
          <w:b/>
          <w:sz w:val="22"/>
          <w:szCs w:val="22"/>
        </w:rPr>
        <w:t xml:space="preserve">Kết quả mặc định: Profit Targeting chọn ~888 / 20,000 khách hàng nhưng lật ngược từ LỖ sang CÓ LÃI.</w:t>
      </w:r>
    </w:p>
    <w:p>
      <w:pPr>
        <w:pStyle w:val="Heading2"/>
        <w:spacing w:before="240" w:after="80"/>
      </w:pPr>
      <w:r>
        <w:rPr>
          <w:rFonts w:ascii="Times New Roman" w:hAnsi="Times New Roman"/>
          <w:b/>
          <w:color w:val="1A6BC8"/>
          <w:sz w:val="26"/>
          <w:szCs w:val="26"/>
        </w:rPr>
        <w:t xml:space="preserve">Tab 5 — Kiểm tra độ vững</w:t>
      </w:r>
    </w:p>
    <w:p>
      <w:pPr>
        <w:pStyle w:val="Normal"/>
        <w:spacing w:before="0" w:after="40"/>
      </w:pPr>
      <w:r>
        <w:rPr>
          <w:rFonts w:ascii="Times New Roman" w:hAnsi="Times New Roman"/>
          <w:sz w:val="22"/>
          <w:szCs w:val="22"/>
        </w:rPr>
        <w:t xml:space="preserve">Tab này dành cho người muốn hiểu giới hạn của hệ thống trước khi triển khai thí nghiệm thật.</w:t>
      </w:r>
    </w:p>
    <w:p>
      <w:pPr>
        <w:ind w:left="720" w:hanging="360"/>
        <w:spacing w:after="60"/>
      </w:pPr>
      <w:r>
        <w:rPr>
          <w:rFonts w:ascii="Times New Roman" w:hAnsi="Times New Roman"/>
          <w:sz w:val="22"/>
          <w:szCs w:val="22"/>
        </w:rPr>
        <w:t xml:space="preserve">• Hệ thống ổn định khi: Tăng kích thước mẫu, khi không có tác động thực, khi bổ sung nhiễu ngẫu nhiên.</w:t>
      </w:r>
    </w:p>
    <w:p>
      <w:pPr>
        <w:ind w:left="720" w:hanging="360"/>
        <w:spacing w:after="60"/>
      </w:pPr>
      <w:r>
        <w:rPr>
          <w:rFonts w:ascii="Times New Roman" w:hAnsi="Times New Roman"/>
          <w:sz w:val="22"/>
          <w:szCs w:val="22"/>
        </w:rPr>
        <w:t xml:space="preserve">• Hệ thống kém ổn định hơn khi: Tỷ lệ 2 nhóm lệch nghiêm trọng (90/10) — độ bất định tăng ~69%.</w:t>
      </w:r>
    </w:p>
    <w:p>
      <w:pPr>
        <w:ind w:left="720" w:hanging="360"/>
        <w:spacing w:after="60"/>
      </w:pPr>
      <w:r>
        <w:rPr>
          <w:rFonts w:ascii="Times New Roman" w:hAnsi="Times New Roman"/>
          <w:sz w:val="22"/>
          <w:szCs w:val="22"/>
        </w:rPr>
        <w:t xml:space="preserve">• Lộ trình phát triển: Hệ thống hiện mới trả lời "Khách hàng nào?". Bước tiếp theo là "Khi nào?" và "Với mức bao nhiêu?"</w:t>
      </w:r>
    </w:p>
    <w:p>
      <w:pPr>
        <w:ind w:left="360"/>
        <w:spacing w:before="60" w:after="60"/>
      </w:pPr>
      <w:r>
        <w:rPr>
          <w:rFonts w:ascii="Times New Roman" w:hAnsi="Times New Roman"/>
          <w:b/>
          <w:color w:val="C0392B"/>
          <w:sz w:val="22"/>
          <w:szCs w:val="22"/>
        </w:rPr>
        <w:t xml:space="preserve">⚠ Lưu ý: </w:t>
      </w:r>
      <w:r>
        <w:rPr>
          <w:rFonts w:ascii="Times New Roman" w:hAnsi="Times New Roman"/>
          <w:i/>
          <w:color w:val="C0392B"/>
          <w:sz w:val="22"/>
          <w:szCs w:val="22"/>
        </w:rPr>
        <w:t xml:space="preserve">Kết quả kiểm tra độ vững chỉ xác nhận logic đo lường hoạt động đúng trong môi trường mô phỏng, chưa phải bằng chứng sẵn sàng triển khai production.</w:t>
      </w:r>
    </w:p>
    <w:p>
      <w:pPr>
        <w:pStyle w:val="Heading1"/>
        <w:spacing w:before="360" w:after="120"/>
      </w:pPr>
      <w:r>
        <w:rPr>
          <w:rFonts w:ascii="Times New Roman" w:hAnsi="Times New Roman"/>
          <w:b/>
          <w:color w:val="0D3D91"/>
          <w:sz w:val="32"/>
          <w:szCs w:val="32"/>
        </w:rPr>
        <w:t xml:space="preserve">4. Luồng demo đề xuất (15 phút)</w:t>
      </w:r>
    </w:p>
    <w:p>
      <w:pPr>
        <w:ind w:left="720" w:hanging="360"/>
        <w:spacing w:after="60"/>
      </w:pPr>
      <w:r>
        <w:rPr>
          <w:rFonts w:ascii="Times New Roman" w:hAnsi="Times New Roman"/>
          <w:sz w:val="22"/>
          <w:szCs w:val="22"/>
        </w:rPr>
        <w:t xml:space="preserve">• Tab 1 (3 phút): Chứng minh phát đại trà là không hiệu quả kinh tế.</w:t>
      </w:r>
    </w:p>
    <w:p>
      <w:pPr>
        <w:ind w:left="720" w:hanging="360"/>
        <w:spacing w:after="60"/>
      </w:pPr>
      <w:r>
        <w:rPr>
          <w:rFonts w:ascii="Times New Roman" w:hAnsi="Times New Roman"/>
          <w:sz w:val="22"/>
          <w:szCs w:val="22"/>
        </w:rPr>
        <w:t xml:space="preserve">• Tab 2 (3 phút): Xác nhận thí nghiệm chuẩn xác, voucher có tác động thực sự.</w:t>
      </w:r>
    </w:p>
    <w:p>
      <w:pPr>
        <w:ind w:left="720" w:hanging="360"/>
        <w:spacing w:after="60"/>
      </w:pPr>
      <w:r>
        <w:rPr>
          <w:rFonts w:ascii="Times New Roman" w:hAnsi="Times New Roman"/>
          <w:sz w:val="22"/>
          <w:szCs w:val="22"/>
        </w:rPr>
        <w:t xml:space="preserve">• Tab 3 (3 phút): Giải thích tại sao cần cá nhân hóa — phản ứng mỗi khách hàng là khác nhau.</w:t>
      </w:r>
    </w:p>
    <w:p>
      <w:pPr>
        <w:ind w:left="720" w:hanging="360"/>
        <w:spacing w:after="60"/>
      </w:pPr>
      <w:r>
        <w:rPr>
          <w:rFonts w:ascii="Times New Roman" w:hAnsi="Times New Roman"/>
          <w:sz w:val="22"/>
          <w:szCs w:val="22"/>
        </w:rPr>
        <w:t xml:space="preserve">• Tab 4 (5 phút): DEMO TRỰC TIẾP — kéo thanh giả định, quan sát Policy Table thay đổi theo thời gian thực.</w:t>
      </w:r>
    </w:p>
    <w:p>
      <w:pPr>
        <w:ind w:left="720" w:hanging="360"/>
        <w:spacing w:after="60"/>
      </w:pPr>
      <w:r>
        <w:rPr>
          <w:rFonts w:ascii="Times New Roman" w:hAnsi="Times New Roman"/>
          <w:sz w:val="22"/>
          <w:szCs w:val="22"/>
        </w:rPr>
        <w:t xml:space="preserve">• Tab 5 (1 phút): Kết thúc bằng giới hạn và bước tiếp theo.</w:t>
      </w:r>
    </w:p>
    <w:p>
      <w:pPr>
        <w:pStyle w:val="Heading1"/>
        <w:spacing w:before="360" w:after="120"/>
      </w:pPr>
      <w:r>
        <w:rPr>
          <w:rFonts w:ascii="Times New Roman" w:hAnsi="Times New Roman"/>
          <w:b/>
          <w:color w:val="0D3D91"/>
          <w:sz w:val="32"/>
          <w:szCs w:val="32"/>
        </w:rPr>
        <w:t xml:space="preserve">5. Những điều không nên kết luận từ Dashboard</w:t>
      </w:r>
    </w:p>
    <w:p>
      <w:pPr>
        <w:ind w:left="720" w:hanging="360"/>
        <w:spacing w:after="60"/>
      </w:pPr>
      <w:r>
        <w:rPr>
          <w:rFonts w:ascii="Times New Roman" w:hAnsi="Times New Roman"/>
          <w:sz w:val="22"/>
          <w:szCs w:val="22"/>
        </w:rPr>
        <w:t xml:space="preserve">• Không gọi mô hình hiện tại là tối ưu tuyệt đối — đây là phiên bản Simplified, chưa có Cross-Fitting đầy đủ.</w:t>
      </w:r>
    </w:p>
    <w:p>
      <w:pPr>
        <w:ind w:left="720" w:hanging="360"/>
        <w:spacing w:after="60"/>
      </w:pPr>
      <w:r>
        <w:rPr>
          <w:rFonts w:ascii="Times New Roman" w:hAnsi="Times New Roman"/>
          <w:sz w:val="22"/>
          <w:szCs w:val="22"/>
        </w:rPr>
        <w:t xml:space="preserve">• Không suy ra ROI mô phỏng là ROI thực tế có thể đạt được trên dữ liệu GSM thật.</w:t>
      </w:r>
    </w:p>
    <w:p>
      <w:pPr>
        <w:ind w:left="720" w:hanging="360"/>
        <w:spacing w:after="60"/>
      </w:pPr>
      <w:r>
        <w:rPr>
          <w:rFonts w:ascii="Times New Roman" w:hAnsi="Times New Roman"/>
          <w:sz w:val="22"/>
          <w:szCs w:val="22"/>
        </w:rPr>
        <w:t xml:space="preserve">• Không triển khai chính sách voucher dựa trên kết quả Dashboard mà không có randomized pilot xác nhận.</w:t>
      </w:r>
    </w:p>
    <w:p>
      <w:pPr>
        <w:ind w:left="720" w:hanging="360"/>
        <w:spacing w:after="60"/>
      </w:pPr>
      <w:r>
        <w:rPr>
          <w:rFonts w:ascii="Times New Roman" w:hAnsi="Times New Roman"/>
          <w:sz w:val="22"/>
          <w:szCs w:val="22"/>
        </w:rPr>
        <w:t xml:space="preserve">• Mọi chính sách thử nghiệm cần được kiểm chứng bằng thí nghiệm ngẫu nhiên thực tế trên dữ liệu GSM trước khi mở rộng.</w:t>
      </w:r>
    </w:p>
    <w:sectPr>
      <w:pgSz w:w="12240" w:h="15840"/>
      <w:pgMar w:top="1440" w:right="1440" w:bottom="1440" w:left="1440"/>
    </w:sectPr>
  </w:body>
</w:document>
</file>

<file path=word/styles.xml><?xml version="1.0" encoding="utf-8"?>
<w:styles xmlns:w="http://schemas.openxmlformats.org/wordprocessingml/2006/main">
  <w:style w:type="paragraph" w:styleId="Normal">
    <w:name w:val="Normal"/>
    <w:rPr>
      <w:rFonts w:ascii="Times New Roman" w:hAnsi="Times New Roman"/>
      <w:sz w:val="24"/>
    </w:rPr>
  </w:style>
  <w:style w:type="paragraph" w:styleId="Heading1">
    <w:name w:val="heading 1"/>
    <w:pPr>
      <w:spacing w:before="360" w:after="120"/>
    </w:pPr>
    <w:rPr>
      <w:rFonts w:ascii="Times New Roman" w:hAnsi="Times New Roman"/>
      <w:b/>
      <w:color w:val="0D3D91"/>
      <w:sz w:val="32"/>
    </w:rPr>
  </w:style>
  <w:style w:type="paragraph" w:styleId="Heading2">
    <w:name w:val="heading 2"/>
    <w:pPr>
      <w:spacing w:before="240" w:after="80"/>
    </w:pPr>
    <w:rPr>
      <w:rFonts w:ascii="Times New Roman" w:hAnsi="Times New Roman"/>
      <w:b/>
      <w:color w:val="1A6BC8"/>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