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20" w:rightFromText="45" w:vertAnchor="text"/>
        <w:tblW w:w="1500" w:type="pct"/>
        <w:shd w:val="clear" w:color="auto" w:fill="FFFFFF"/>
        <w:tblCellMar>
          <w:left w:w="0" w:type="dxa"/>
          <w:right w:w="0" w:type="dxa"/>
        </w:tblCellMar>
        <w:tblLook w:val="04A0" w:firstRow="1" w:lastRow="0" w:firstColumn="1" w:lastColumn="0" w:noHBand="0" w:noVBand="1"/>
      </w:tblPr>
      <w:tblGrid>
        <w:gridCol w:w="2722"/>
      </w:tblGrid>
      <w:tr w:rsidR="000E418E" w:rsidRPr="000E418E" w14:paraId="7F664194" w14:textId="77777777" w:rsidTr="000E418E">
        <w:tc>
          <w:tcPr>
            <w:tcW w:w="1100" w:type="pct"/>
            <w:tcBorders>
              <w:top w:val="nil"/>
              <w:left w:val="nil"/>
              <w:bottom w:val="nil"/>
              <w:right w:val="nil"/>
            </w:tcBorders>
            <w:shd w:val="clear" w:color="auto" w:fill="FFFFFF"/>
            <w:vAlign w:val="bottom"/>
            <w:hideMark/>
          </w:tcPr>
          <w:p w14:paraId="49F35170" w14:textId="77777777" w:rsidR="000E418E" w:rsidRPr="000E418E" w:rsidRDefault="000E418E" w:rsidP="000E418E">
            <w:pPr>
              <w:spacing w:after="0" w:line="240" w:lineRule="auto"/>
              <w:ind w:firstLine="0"/>
              <w:jc w:val="center"/>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BỘ CÔNG AN</w:t>
            </w:r>
          </w:p>
          <w:p w14:paraId="168820FD" w14:textId="77777777" w:rsidR="000E418E" w:rsidRPr="000E418E" w:rsidRDefault="000E418E" w:rsidP="000E418E">
            <w:pPr>
              <w:spacing w:after="0" w:line="240" w:lineRule="auto"/>
              <w:ind w:firstLine="0"/>
              <w:jc w:val="center"/>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Số: 31/2023/TT-BCA</w:t>
            </w:r>
          </w:p>
        </w:tc>
      </w:tr>
    </w:tbl>
    <w:tbl>
      <w:tblPr>
        <w:tblpPr w:leftFromText="45" w:rightFromText="45" w:vertAnchor="text" w:tblpXSpec="right" w:tblpYSpec="center"/>
        <w:tblW w:w="2500" w:type="pct"/>
        <w:shd w:val="clear" w:color="auto" w:fill="FFFFFF"/>
        <w:tblCellMar>
          <w:left w:w="0" w:type="dxa"/>
          <w:right w:w="0" w:type="dxa"/>
        </w:tblCellMar>
        <w:tblLook w:val="04A0" w:firstRow="1" w:lastRow="0" w:firstColumn="1" w:lastColumn="0" w:noHBand="0" w:noVBand="1"/>
      </w:tblPr>
      <w:tblGrid>
        <w:gridCol w:w="4536"/>
      </w:tblGrid>
      <w:tr w:rsidR="000E418E" w:rsidRPr="000E418E" w14:paraId="3B1B31F8" w14:textId="77777777" w:rsidTr="000E418E">
        <w:tc>
          <w:tcPr>
            <w:tcW w:w="0" w:type="auto"/>
            <w:tcBorders>
              <w:top w:val="nil"/>
              <w:left w:val="nil"/>
              <w:bottom w:val="nil"/>
              <w:right w:val="nil"/>
            </w:tcBorders>
            <w:shd w:val="clear" w:color="auto" w:fill="FFFFFF"/>
            <w:vAlign w:val="bottom"/>
            <w:hideMark/>
          </w:tcPr>
          <w:p w14:paraId="10EEC966" w14:textId="77777777" w:rsidR="000E418E" w:rsidRPr="000E418E" w:rsidRDefault="000E418E" w:rsidP="000E418E">
            <w:pPr>
              <w:spacing w:after="0" w:line="240" w:lineRule="auto"/>
              <w:ind w:firstLine="0"/>
              <w:jc w:val="center"/>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CỘNG HOÀ XÃ HỘI CHỦ NGHĨA VIỆT NAM</w:t>
            </w:r>
          </w:p>
          <w:p w14:paraId="33B100A2" w14:textId="77777777" w:rsidR="000E418E" w:rsidRPr="000E418E" w:rsidRDefault="000E418E" w:rsidP="000E418E">
            <w:pPr>
              <w:spacing w:after="0" w:line="240" w:lineRule="auto"/>
              <w:ind w:firstLine="0"/>
              <w:jc w:val="center"/>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Độc lập - Tự do - Hạnh phúc</w:t>
            </w:r>
          </w:p>
          <w:p w14:paraId="287211A2" w14:textId="77777777" w:rsidR="000E418E" w:rsidRPr="000E418E" w:rsidRDefault="000E418E" w:rsidP="000E418E">
            <w:pPr>
              <w:spacing w:after="0" w:line="240" w:lineRule="auto"/>
              <w:ind w:firstLine="0"/>
              <w:jc w:val="center"/>
              <w:textAlignment w:val="baseline"/>
              <w:rPr>
                <w:rFonts w:ascii="Arial" w:eastAsia="Times New Roman" w:hAnsi="Arial" w:cs="Arial"/>
                <w:color w:val="000000"/>
                <w:sz w:val="20"/>
                <w:szCs w:val="20"/>
              </w:rPr>
            </w:pPr>
            <w:r w:rsidRPr="000E418E">
              <w:rPr>
                <w:rFonts w:ascii="Arial" w:eastAsia="Times New Roman" w:hAnsi="Arial" w:cs="Arial"/>
                <w:i/>
                <w:iCs/>
                <w:color w:val="000000"/>
                <w:sz w:val="20"/>
                <w:szCs w:val="20"/>
                <w:bdr w:val="none" w:sz="0" w:space="0" w:color="auto" w:frame="1"/>
              </w:rPr>
              <w:t>Hà Nội, ngày 20 tháng 7 năm 2023</w:t>
            </w:r>
          </w:p>
        </w:tc>
      </w:tr>
    </w:tbl>
    <w:p w14:paraId="0B9D9AF1" w14:textId="77777777" w:rsidR="000E418E" w:rsidRDefault="000E418E" w:rsidP="000E418E">
      <w:pPr>
        <w:shd w:val="clear" w:color="auto" w:fill="FFFFFF"/>
        <w:spacing w:after="0" w:line="320" w:lineRule="atLeast"/>
        <w:ind w:firstLine="0"/>
        <w:jc w:val="center"/>
        <w:textAlignment w:val="baseline"/>
        <w:rPr>
          <w:rFonts w:ascii="Arial" w:eastAsia="Times New Roman" w:hAnsi="Arial" w:cs="Arial"/>
          <w:b/>
          <w:bCs/>
          <w:color w:val="000000"/>
          <w:sz w:val="20"/>
          <w:szCs w:val="20"/>
          <w:bdr w:val="none" w:sz="0" w:space="0" w:color="auto" w:frame="1"/>
        </w:rPr>
      </w:pPr>
    </w:p>
    <w:p w14:paraId="1C509D6C" w14:textId="77777777" w:rsidR="000E418E" w:rsidRDefault="000E418E" w:rsidP="000E418E">
      <w:pPr>
        <w:shd w:val="clear" w:color="auto" w:fill="FFFFFF"/>
        <w:spacing w:after="0" w:line="320" w:lineRule="atLeast"/>
        <w:ind w:firstLine="0"/>
        <w:jc w:val="center"/>
        <w:textAlignment w:val="baseline"/>
        <w:rPr>
          <w:rFonts w:ascii="Arial" w:eastAsia="Times New Roman" w:hAnsi="Arial" w:cs="Arial"/>
          <w:b/>
          <w:bCs/>
          <w:color w:val="000000"/>
          <w:sz w:val="20"/>
          <w:szCs w:val="20"/>
          <w:bdr w:val="none" w:sz="0" w:space="0" w:color="auto" w:frame="1"/>
        </w:rPr>
      </w:pPr>
    </w:p>
    <w:p w14:paraId="21AE280C" w14:textId="77777777" w:rsidR="000E418E" w:rsidRDefault="000E418E" w:rsidP="000E418E">
      <w:pPr>
        <w:shd w:val="clear" w:color="auto" w:fill="FFFFFF"/>
        <w:spacing w:after="0" w:line="320" w:lineRule="atLeast"/>
        <w:ind w:firstLine="0"/>
        <w:jc w:val="center"/>
        <w:textAlignment w:val="baseline"/>
        <w:rPr>
          <w:rFonts w:ascii="Arial" w:eastAsia="Times New Roman" w:hAnsi="Arial" w:cs="Arial"/>
          <w:b/>
          <w:bCs/>
          <w:color w:val="000000"/>
          <w:sz w:val="20"/>
          <w:szCs w:val="20"/>
          <w:bdr w:val="none" w:sz="0" w:space="0" w:color="auto" w:frame="1"/>
        </w:rPr>
      </w:pPr>
    </w:p>
    <w:p w14:paraId="1D58C0D3" w14:textId="5BB3F440" w:rsidR="000E418E" w:rsidRPr="000E418E" w:rsidRDefault="000E418E" w:rsidP="000E418E">
      <w:pPr>
        <w:shd w:val="clear" w:color="auto" w:fill="FFFFFF"/>
        <w:spacing w:after="0" w:line="320" w:lineRule="atLeast"/>
        <w:ind w:firstLine="0"/>
        <w:jc w:val="center"/>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THÔNG TƯ</w:t>
      </w:r>
    </w:p>
    <w:p w14:paraId="70EA2E4C" w14:textId="77777777" w:rsidR="000E418E" w:rsidRPr="000E418E" w:rsidRDefault="000E418E" w:rsidP="000E418E">
      <w:pPr>
        <w:shd w:val="clear" w:color="auto" w:fill="FFFFFF"/>
        <w:spacing w:after="0" w:line="320" w:lineRule="atLeast"/>
        <w:ind w:firstLine="0"/>
        <w:jc w:val="center"/>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Quy định về mẫu hộ chiếu, mẫu giấy thông hành</w:t>
      </w:r>
    </w:p>
    <w:p w14:paraId="62FF1D08" w14:textId="77777777" w:rsidR="000E418E" w:rsidRPr="000E418E" w:rsidRDefault="000E418E" w:rsidP="000E418E">
      <w:pPr>
        <w:shd w:val="clear" w:color="auto" w:fill="FFFFFF"/>
        <w:spacing w:after="0" w:line="320" w:lineRule="atLeast"/>
        <w:ind w:firstLine="0"/>
        <w:jc w:val="center"/>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và các biểu mẫu liên quan</w:t>
      </w:r>
    </w:p>
    <w:p w14:paraId="7009ACD2"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i/>
          <w:iCs/>
          <w:color w:val="000000"/>
          <w:sz w:val="20"/>
          <w:szCs w:val="20"/>
          <w:bdr w:val="none" w:sz="0" w:space="0" w:color="auto" w:frame="1"/>
        </w:rPr>
        <w:t>Căn cứ Luật Xuất cảnh, nhập cảnh của công dân Việt Nam;</w:t>
      </w:r>
    </w:p>
    <w:p w14:paraId="3E37EA3A"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i/>
          <w:iCs/>
          <w:color w:val="000000"/>
          <w:sz w:val="20"/>
          <w:szCs w:val="20"/>
          <w:bdr w:val="none" w:sz="0" w:space="0" w:color="auto" w:frame="1"/>
        </w:rPr>
        <w:t>Căn cứ Luật sửa đổi, bổ sung một số điều của Luật Xuất cảnh, nhập cảnh của công dân Việt Nam và Luật Nhập cảnh, xuất cảnh, quá cảnh, cư trú của người nước ngoài tại Việt Nam;</w:t>
      </w:r>
    </w:p>
    <w:p w14:paraId="02218951"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i/>
          <w:iCs/>
          <w:color w:val="000000"/>
          <w:sz w:val="20"/>
          <w:szCs w:val="20"/>
          <w:bdr w:val="none" w:sz="0" w:space="0" w:color="auto" w:frame="1"/>
        </w:rPr>
        <w:t>Căn cứ Nghị định số </w:t>
      </w:r>
      <w:hyperlink r:id="rId4" w:tgtFrame="_blank" w:history="1">
        <w:r w:rsidRPr="000E418E">
          <w:rPr>
            <w:rFonts w:ascii="Arial" w:eastAsia="Times New Roman" w:hAnsi="Arial" w:cs="Arial"/>
            <w:i/>
            <w:iCs/>
            <w:color w:val="CC3300"/>
            <w:sz w:val="20"/>
            <w:szCs w:val="20"/>
            <w:u w:val="single"/>
            <w:bdr w:val="none" w:sz="0" w:space="0" w:color="auto" w:frame="1"/>
          </w:rPr>
          <w:t>01/2018/NĐ-CP</w:t>
        </w:r>
      </w:hyperlink>
      <w:r w:rsidRPr="000E418E">
        <w:rPr>
          <w:rFonts w:ascii="Arial" w:eastAsia="Times New Roman" w:hAnsi="Arial" w:cs="Arial"/>
          <w:i/>
          <w:iCs/>
          <w:color w:val="000000"/>
          <w:sz w:val="20"/>
          <w:szCs w:val="20"/>
          <w:bdr w:val="none" w:sz="0" w:space="0" w:color="auto" w:frame="1"/>
        </w:rPr>
        <w:t> ngày 06 tháng 8 năm 2018 của Chính phủ quy định chức năng, nhiệm vụ, quyền hạn và cơ cấu tổ chức của Bộ Công an;</w:t>
      </w:r>
    </w:p>
    <w:p w14:paraId="5B9D9E86"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i/>
          <w:iCs/>
          <w:color w:val="000000"/>
          <w:sz w:val="20"/>
          <w:szCs w:val="20"/>
          <w:bdr w:val="none" w:sz="0" w:space="0" w:color="auto" w:frame="1"/>
        </w:rPr>
        <w:t>Căn cứ Nghị định số </w:t>
      </w:r>
      <w:hyperlink r:id="rId5" w:tgtFrame="_blank" w:history="1">
        <w:r w:rsidRPr="000E418E">
          <w:rPr>
            <w:rFonts w:ascii="Arial" w:eastAsia="Times New Roman" w:hAnsi="Arial" w:cs="Arial"/>
            <w:i/>
            <w:iCs/>
            <w:color w:val="CC3300"/>
            <w:sz w:val="20"/>
            <w:szCs w:val="20"/>
            <w:u w:val="single"/>
            <w:bdr w:val="none" w:sz="0" w:space="0" w:color="auto" w:frame="1"/>
          </w:rPr>
          <w:t>76/2020/NĐ-CP</w:t>
        </w:r>
      </w:hyperlink>
      <w:r w:rsidRPr="000E418E">
        <w:rPr>
          <w:rFonts w:ascii="Arial" w:eastAsia="Times New Roman" w:hAnsi="Arial" w:cs="Arial"/>
          <w:i/>
          <w:iCs/>
          <w:color w:val="000000"/>
          <w:sz w:val="20"/>
          <w:szCs w:val="20"/>
          <w:bdr w:val="none" w:sz="0" w:space="0" w:color="auto" w:frame="1"/>
        </w:rPr>
        <w:t> ngày 01 tháng 7 năm 2020 của Chính phủ quy định chi tiết đối tượng, trình tự, thủ tục, thẩm quyền cấp, thu hồi, hủy giá trị sử dụng giấy thông hành;</w:t>
      </w:r>
    </w:p>
    <w:p w14:paraId="48D75A11"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i/>
          <w:iCs/>
          <w:color w:val="000000"/>
          <w:sz w:val="20"/>
          <w:szCs w:val="20"/>
          <w:bdr w:val="none" w:sz="0" w:space="0" w:color="auto" w:frame="1"/>
        </w:rPr>
        <w:t>Theo đề nghị của Cục trưởng Cục Quản lý xuất nhập cảnh;</w:t>
      </w:r>
    </w:p>
    <w:p w14:paraId="08A7116D"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i/>
          <w:iCs/>
          <w:color w:val="000000"/>
          <w:sz w:val="20"/>
          <w:szCs w:val="20"/>
          <w:bdr w:val="none" w:sz="0" w:space="0" w:color="auto" w:frame="1"/>
        </w:rPr>
        <w:t>Bộ trưởng Bộ Công an ban hành Thông tư quy định về mẫu hộ chiếu, giấy thông hành và các biểu mẫu liên quan.</w:t>
      </w:r>
    </w:p>
    <w:p w14:paraId="0C542E82"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Điều </w:t>
      </w:r>
      <w:bookmarkStart w:id="0" w:name="Dieu_1"/>
      <w:bookmarkEnd w:id="0"/>
      <w:r w:rsidRPr="000E418E">
        <w:rPr>
          <w:rFonts w:ascii="Arial" w:eastAsia="Times New Roman" w:hAnsi="Arial" w:cs="Arial"/>
          <w:b/>
          <w:bCs/>
          <w:color w:val="000000"/>
          <w:sz w:val="20"/>
          <w:szCs w:val="20"/>
          <w:bdr w:val="none" w:sz="0" w:space="0" w:color="auto" w:frame="1"/>
        </w:rPr>
        <w:t>1. Phạm vi điều chỉnh và đối tượng áp dụng</w:t>
      </w:r>
    </w:p>
    <w:p w14:paraId="1488F5A4"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1. Thông tư này quy định mẫu hộ chiếu, giấy thông hành và các biểu mẫu liên quan đến việc cấp, sử dụng hộ chiếu, giấy thông hành.</w:t>
      </w:r>
    </w:p>
    <w:p w14:paraId="654441D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2. Mẫu tờ khai đề nghị cấp, gia hạn và trình báo mất hộ chiếu ngoại giao, hộ chiếu công vụ thực hiện theo quy định của Bộ Ngoại giao.</w:t>
      </w:r>
    </w:p>
    <w:p w14:paraId="069E7D7F"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3. Mẫu tờ khai đề nghị cấp, trình báo mất giấy thông hành và cấp giấy chứng nhận nhập cảnh thực hiện theo quy định tại Nghị định số </w:t>
      </w:r>
      <w:hyperlink r:id="rId6" w:tgtFrame="_blank" w:history="1">
        <w:r w:rsidRPr="000E418E">
          <w:rPr>
            <w:rFonts w:ascii="Arial" w:eastAsia="Times New Roman" w:hAnsi="Arial" w:cs="Arial"/>
            <w:color w:val="CC3300"/>
            <w:sz w:val="20"/>
            <w:szCs w:val="20"/>
            <w:u w:val="single"/>
            <w:bdr w:val="none" w:sz="0" w:space="0" w:color="auto" w:frame="1"/>
          </w:rPr>
          <w:t>76/2020/NĐ-CP</w:t>
        </w:r>
      </w:hyperlink>
      <w:r w:rsidRPr="000E418E">
        <w:rPr>
          <w:rFonts w:ascii="Arial" w:eastAsia="Times New Roman" w:hAnsi="Arial" w:cs="Arial"/>
          <w:color w:val="000000"/>
          <w:sz w:val="20"/>
          <w:szCs w:val="20"/>
        </w:rPr>
        <w:t> ngày 01 tháng 7 năm 2020 của Chính phủ quy định chi tiết đối tượng, trình tự, thủ tục, thẩm quyền cấp, thu hồi, hủy giá trị sử dụng giấy thông hành.</w:t>
      </w:r>
    </w:p>
    <w:p w14:paraId="094120F2"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4. Thông tư này áp dụng đối với công dân Việt Nam và cơ quan, đơn vị có liên quan.</w:t>
      </w:r>
    </w:p>
    <w:p w14:paraId="2299930C"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Điều </w:t>
      </w:r>
      <w:bookmarkStart w:id="1" w:name="Dieu_2"/>
      <w:bookmarkEnd w:id="1"/>
      <w:r w:rsidRPr="000E418E">
        <w:rPr>
          <w:rFonts w:ascii="Arial" w:eastAsia="Times New Roman" w:hAnsi="Arial" w:cs="Arial"/>
          <w:b/>
          <w:bCs/>
          <w:color w:val="000000"/>
          <w:sz w:val="20"/>
          <w:szCs w:val="20"/>
          <w:bdr w:val="none" w:sz="0" w:space="0" w:color="auto" w:frame="1"/>
        </w:rPr>
        <w:t>2. Mẫu hộ chiếu</w:t>
      </w:r>
    </w:p>
    <w:p w14:paraId="78AAF07F"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1. Quy cách, kỹ thuật chung của hộ chiếu:</w:t>
      </w:r>
    </w:p>
    <w:p w14:paraId="50D940B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a) Mặt ngoài của trang bìa in quốc hiệu, quốc huy, tên hộ chiếu; hộ chiếu có gắn chip điện tử có biểu tượng chíp điện tử;</w:t>
      </w:r>
    </w:p>
    <w:p w14:paraId="399524DE"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b) Hình ảnh tại các trang trong hộ chiếu là cảnh đẹp đất nước, di sản văn hóa Việt Nam, kết hợp cùng họa tiết trống đồng;</w:t>
      </w:r>
    </w:p>
    <w:p w14:paraId="29B437CF"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c) Ngôn ngữ sử dụng trong hộ chiếu: tiếng Việt và tiếng Anh;</w:t>
      </w:r>
    </w:p>
    <w:p w14:paraId="01CDCDE7"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d) Số trang trong cuốn hộ chiếu không kể trang bìa: 48 trang đối với hộ chiếu ngoại giao, hộ chiếu công vụ và hộ chiếu phổ thông có thời hạn 5 năm hoặc 10 năm; 12 trang đối với hộ chiếu phổ thông cấp theo thủ tục rút gọn có thời hạn không quá 12 tháng;</w:t>
      </w:r>
    </w:p>
    <w:p w14:paraId="4F60D841"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đ) Kích thước theo tiêu chuẩn ISO 7810 (ID-3): 88mm x 125mm ± 0,75 mm;</w:t>
      </w:r>
    </w:p>
    <w:p w14:paraId="51551E71"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e) Bán kính góc cuốn hộ chiếu r: 3,18mm ± 0,3mm;</w:t>
      </w:r>
    </w:p>
    <w:p w14:paraId="497DA3F3"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f) Chíp điện tử được đặt trong bìa sau của hộ chiếu có gắn chíp điện tử;</w:t>
      </w:r>
    </w:p>
    <w:p w14:paraId="74078561"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g) Bìa hộ chiếu là loại vật liệu nhựa tổng hợp, có độ bền cao;</w:t>
      </w:r>
    </w:p>
    <w:p w14:paraId="5F94CDDA"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h) Chữ, số hộ chiếu được đục lỗ bằng công nghệ laser thông suốt từ trang 1 tới bìa sau cuốn hộ chiếu và trùng với chữ, số ở trang 1;</w:t>
      </w:r>
    </w:p>
    <w:p w14:paraId="6AAA0886"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i) Toàn bộ nội dung, hình ảnh in trong hộ chiếu được thực hiện bằng công nghệ hiện đại đáp ứng yêu cầu bảo an, chống nguy cơ làm giả và đạt tiêu chuẩn ICAO.</w:t>
      </w:r>
    </w:p>
    <w:p w14:paraId="1815DED7"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2.Các mẫu hộ chiếu:</w:t>
      </w:r>
    </w:p>
    <w:p w14:paraId="1A128FA3"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a) Hộ chiếu ngoại giao, trang bìa màu nâu đỏ (mẫu HCNG);</w:t>
      </w:r>
    </w:p>
    <w:p w14:paraId="551D162A"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lastRenderedPageBreak/>
        <w:t>b) Hộ chiếu công vụ, trang bìa màu xanh lá cây đậm (mẫu HCCV);</w:t>
      </w:r>
    </w:p>
    <w:p w14:paraId="57E81AB4"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c) Hộ chiếu phổ thông, trang bìa màu xanh tím (mẫu HCPT);</w:t>
      </w:r>
    </w:p>
    <w:p w14:paraId="7E55563C"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d) Hộ chiếu phổ thông cấp theo thủ tục rút gọn, trang bìa màu đen (mẫu HCPT-RG).</w:t>
      </w:r>
    </w:p>
    <w:p w14:paraId="2ADA3CC0"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Điều </w:t>
      </w:r>
      <w:bookmarkStart w:id="2" w:name="Dieu_3"/>
      <w:bookmarkEnd w:id="2"/>
      <w:r w:rsidRPr="000E418E">
        <w:rPr>
          <w:rFonts w:ascii="Arial" w:eastAsia="Times New Roman" w:hAnsi="Arial" w:cs="Arial"/>
          <w:b/>
          <w:bCs/>
          <w:color w:val="000000"/>
          <w:sz w:val="20"/>
          <w:szCs w:val="20"/>
          <w:bdr w:val="none" w:sz="0" w:space="0" w:color="auto" w:frame="1"/>
        </w:rPr>
        <w:t>3. Mẫu giấy thông hành</w:t>
      </w:r>
    </w:p>
    <w:p w14:paraId="11595C7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1. Quy cách kỹ thuật chung của giấy thông hành:</w:t>
      </w:r>
    </w:p>
    <w:p w14:paraId="2C3CABA7"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a) Mặt ngoài của trang bìa in quốc hiệu, quốc huy, tên giấy thông hành;</w:t>
      </w:r>
    </w:p>
    <w:p w14:paraId="2E91F38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b) Ngôn ngữ sử dụng trong giấy thông hành: tiếng Việt và tiếng Campuchia đối với giấy thông hành biên giới Việt Nam - Campuchia; tiếng Việt và tiếng Lào đối với giấy thông hành biên giới Việt Nam - Lào; tiếng Việt và tiếng Trung Quốc đối với giấy thông hành xuất nhập cảnh vùng biên giới Việt Nam - Trung Quốc;</w:t>
      </w:r>
    </w:p>
    <w:p w14:paraId="30380498"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c) Số trang trong giấy thông hành không kể trang bìa: 16 trang đối với giấy thông hành biên giới Việt Nam - Campuchia và giấy thông hành biên giới Việt Nam - Lào, 28 trang đối với giấy thông hành xuất nhập cảnh vùng biên giới Việt Nam - Trung Quốc;</w:t>
      </w:r>
    </w:p>
    <w:p w14:paraId="7014F56F"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d) Kích thước theo chuẩn ISO 7810 (ID-3): 88mm x 125mm ± 0,75mm;</w:t>
      </w:r>
    </w:p>
    <w:p w14:paraId="6F18A8B2"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đ) Bìa giấy thông hành là loại vật liệu nhựa tổng hợp, có độ bền cao;</w:t>
      </w:r>
    </w:p>
    <w:p w14:paraId="200C9AC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e) Toàn bộ nội dung in trong giấy thông hành được thực hiện bằng công nghệ hiện đại đáp ứng yêu cầu bảo an, chống nguy cơ làm giả.</w:t>
      </w:r>
    </w:p>
    <w:p w14:paraId="1E9B2767"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2. Các mẫu giấy thông hành:</w:t>
      </w:r>
    </w:p>
    <w:p w14:paraId="41436319"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a) Giấy thông hành biên giới Việt Nam - Campuchia, trang bìa màu xanh tím (mẫu GTHVN-C);</w:t>
      </w:r>
    </w:p>
    <w:p w14:paraId="513D9743"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b) Giấy thông hành biên giới Việt Nam - Lào, trang bìa màu xanh da trời (mẫu GTHVN-L);</w:t>
      </w:r>
    </w:p>
    <w:p w14:paraId="42E0D5BC"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c) Giấy thông hành xuất nhập cảnh vùng biên giới Việt Nam - Trung Quốc cấp cho cán bộ, công chức, trang bìa màu nâu (mẫu GTHVN01-TQ);</w:t>
      </w:r>
    </w:p>
    <w:p w14:paraId="4674527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d) Giấy thông hành xuất nhập cảnh vùng biên giới Việt Nam - Trung Quốc cấp cho cư dân biên giới, trang bìa màu ghi xám (mẫu GTHVN02-TQ).</w:t>
      </w:r>
    </w:p>
    <w:p w14:paraId="778C1F14"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Điều </w:t>
      </w:r>
      <w:bookmarkStart w:id="3" w:name="Dieu_4"/>
      <w:bookmarkEnd w:id="3"/>
      <w:r w:rsidRPr="000E418E">
        <w:rPr>
          <w:rFonts w:ascii="Arial" w:eastAsia="Times New Roman" w:hAnsi="Arial" w:cs="Arial"/>
          <w:b/>
          <w:bCs/>
          <w:color w:val="000000"/>
          <w:sz w:val="20"/>
          <w:szCs w:val="20"/>
          <w:bdr w:val="none" w:sz="0" w:space="0" w:color="auto" w:frame="1"/>
        </w:rPr>
        <w:t>4. Biểu mẫu</w:t>
      </w:r>
    </w:p>
    <w:p w14:paraId="55913488"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Ban hành kèm theo Thông tư này các biểu mẫu sau:</w:t>
      </w:r>
    </w:p>
    <w:p w14:paraId="3E991F6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1. Biểu mẫu đề nghị cấp, khôi phục giá trị sử dụng, trình báo mất hộ chiếu phổ thông</w:t>
      </w:r>
    </w:p>
    <w:p w14:paraId="1356454E"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a) Tờ khai đề nghị cấp hộ chiếu phổ thông ở trong nước dành cho người từ 14 tuổi trở lên (mẫu TK01);</w:t>
      </w:r>
    </w:p>
    <w:p w14:paraId="6FAD6C1E"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b) Tờ khai đề nghị cấp hộ chiếu phổ thông ở trong nước dành cho người chưa đủ 14 tuổi (mẫu TK01a);</w:t>
      </w:r>
    </w:p>
    <w:p w14:paraId="6B19B03C"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c) Tờ khai đề nghị cấp hộ chiếu phổ thông ở nước ngoài dành cho người từ 14 tuổi trở lên (mẫu TK02);</w:t>
      </w:r>
    </w:p>
    <w:p w14:paraId="538AD90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d) Tờ khai đề nghị cấp hộ chiếu phổ thông ở nước ngoài dành cho người chưa đủ 14 tuổi (mẫu TK02a);</w:t>
      </w:r>
    </w:p>
    <w:p w14:paraId="10B46BF6"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đ) Tờ khai đề nghị xác nhận nhân thân cho công dân Việt Nam ở nước ngoài đề nghị cấp hộ chiếu (mẫu TK03);</w:t>
      </w:r>
    </w:p>
    <w:p w14:paraId="749E795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e) Tờ khai đề nghị khôi phục giá trị sử dụng hộ chiếu phổ thông (mẫu TK04);</w:t>
      </w:r>
    </w:p>
    <w:p w14:paraId="7EA292B6"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f) Đơn trình báo mất hộ chiếu phổ thông (mẫu TK05);</w:t>
      </w:r>
    </w:p>
    <w:p w14:paraId="3DE35DA8"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g) Đơn trình bày về việc chưa đến nhận hộ chiếu (mẫu TK06).</w:t>
      </w:r>
    </w:p>
    <w:p w14:paraId="568CD484"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2. Biểu mẫu dùng cho cơ quan có liên quan</w:t>
      </w:r>
    </w:p>
    <w:p w14:paraId="73C1A7AA"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a) Thông báo về việc chuyển đơn trình báo mất hộ chiếu phổ thông (mẫu VB01);</w:t>
      </w:r>
    </w:p>
    <w:p w14:paraId="674A0B2F"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b) Công điện của cơ quan đại diện Việt Nam ở nước ngoài đề nghị xác minh nhân thân để cấp hộ chiếu phổ thông cho công dân Việt Nam (mẫu VB02);</w:t>
      </w:r>
    </w:p>
    <w:p w14:paraId="1E9BEF9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c) Thông báo về việc giải quyết đơn trình báo mất hộ chiếu phổ thông (mẫu VB03).</w:t>
      </w:r>
    </w:p>
    <w:p w14:paraId="5F43C581"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Điều </w:t>
      </w:r>
      <w:bookmarkStart w:id="4" w:name="Dieu_5"/>
      <w:bookmarkEnd w:id="4"/>
      <w:r w:rsidRPr="000E418E">
        <w:rPr>
          <w:rFonts w:ascii="Arial" w:eastAsia="Times New Roman" w:hAnsi="Arial" w:cs="Arial"/>
          <w:b/>
          <w:bCs/>
          <w:color w:val="000000"/>
          <w:sz w:val="20"/>
          <w:szCs w:val="20"/>
          <w:bdr w:val="none" w:sz="0" w:space="0" w:color="auto" w:frame="1"/>
        </w:rPr>
        <w:t>5. Sản xuất, quản lý ấn phẩm trắng hộ chiếu, giấy thông hành</w:t>
      </w:r>
    </w:p>
    <w:p w14:paraId="45FCC88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1. Cục Quản lý xuất nhập cảnh có trách nhiệm hợp đồng với Viện Khoa học và công nghệ để nghiên cứu, chế tạo, sản xuất ấn phẩm trắng có kỹ thuật bảo an và cung cấp kịp thời theo yêu cầu của cơ quan có thẩm quyền cấp hộ chiếu, giấy thông hành.</w:t>
      </w:r>
    </w:p>
    <w:p w14:paraId="0DA65ECE"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lastRenderedPageBreak/>
        <w:t>2. Cơ quan có thẩm quyền cấp hộ chiếu, giấy thông hành phải quản lý ấn phẩm trắng theo quy định.</w:t>
      </w:r>
    </w:p>
    <w:p w14:paraId="428FC44D"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3. Trước ngày 15 tháng 12 hàng năm, cơ quan có thẩm quyền cấp hộ chiếu, giấy thông hành phải dự trù và đăng ký với Cục Quản lý xuất nhập cảnh số lượng ấn phẩm trắng cần sử dụng cho năm tiếp theo.</w:t>
      </w:r>
    </w:p>
    <w:p w14:paraId="206A920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Cách đăng ký như sau: các cơ quan đại diện Việt Nam ở nước ngoài và các cơ quan có thẩm quyền của Bộ Ngoại giao đăng ký qua Cục Lãnh sự; Công an cấp xã, Công an cấp huyện đăng ký qua Công an cấp tỉnh; Cục Lãnh sự, Công an cấp tỉnh đăng ký trực tiếp với Cục Quản lý xuất nhập cảnh.</w:t>
      </w:r>
    </w:p>
    <w:p w14:paraId="33718232"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Điều </w:t>
      </w:r>
      <w:bookmarkStart w:id="5" w:name="Dieu_6"/>
      <w:bookmarkEnd w:id="5"/>
      <w:r w:rsidRPr="000E418E">
        <w:rPr>
          <w:rFonts w:ascii="Arial" w:eastAsia="Times New Roman" w:hAnsi="Arial" w:cs="Arial"/>
          <w:b/>
          <w:bCs/>
          <w:color w:val="000000"/>
          <w:sz w:val="20"/>
          <w:szCs w:val="20"/>
          <w:bdr w:val="none" w:sz="0" w:space="0" w:color="auto" w:frame="1"/>
        </w:rPr>
        <w:t>6. Hiệu lực thi hành và điều khoản chuyển tiếp</w:t>
      </w:r>
    </w:p>
    <w:p w14:paraId="249C759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1. Thông tư này có hiệu lực kể từ ngày 15 tháng 8 năm 2023.</w:t>
      </w:r>
    </w:p>
    <w:p w14:paraId="2158930D"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2. Thông tư này thay thế Thông tư số </w:t>
      </w:r>
      <w:hyperlink r:id="rId7" w:tgtFrame="_blank" w:history="1">
        <w:r w:rsidRPr="000E418E">
          <w:rPr>
            <w:rFonts w:ascii="Arial" w:eastAsia="Times New Roman" w:hAnsi="Arial" w:cs="Arial"/>
            <w:color w:val="CC3300"/>
            <w:sz w:val="20"/>
            <w:szCs w:val="20"/>
            <w:u w:val="single"/>
            <w:bdr w:val="none" w:sz="0" w:space="0" w:color="auto" w:frame="1"/>
          </w:rPr>
          <w:t>73/2021/TT-BCA</w:t>
        </w:r>
      </w:hyperlink>
      <w:r w:rsidRPr="000E418E">
        <w:rPr>
          <w:rFonts w:ascii="Arial" w:eastAsia="Times New Roman" w:hAnsi="Arial" w:cs="Arial"/>
          <w:color w:val="000000"/>
          <w:sz w:val="20"/>
          <w:szCs w:val="20"/>
        </w:rPr>
        <w:t> ngày 29 tháng 6 năm 2021 của Bộ trưởng Bộ Công an quy định về mẫu hộ chiếu, giấy thông hành và các biểu mẫu liên quan và Thông tư số </w:t>
      </w:r>
      <w:hyperlink r:id="rId8" w:tgtFrame="_blank" w:history="1">
        <w:r w:rsidRPr="000E418E">
          <w:rPr>
            <w:rFonts w:ascii="Arial" w:eastAsia="Times New Roman" w:hAnsi="Arial" w:cs="Arial"/>
            <w:color w:val="CC3300"/>
            <w:sz w:val="20"/>
            <w:szCs w:val="20"/>
            <w:u w:val="single"/>
            <w:bdr w:val="none" w:sz="0" w:space="0" w:color="auto" w:frame="1"/>
          </w:rPr>
          <w:t>68/2022/TT-BCA</w:t>
        </w:r>
      </w:hyperlink>
      <w:r w:rsidRPr="000E418E">
        <w:rPr>
          <w:rFonts w:ascii="Arial" w:eastAsia="Times New Roman" w:hAnsi="Arial" w:cs="Arial"/>
          <w:color w:val="000000"/>
          <w:sz w:val="20"/>
          <w:szCs w:val="20"/>
        </w:rPr>
        <w:t> ngày 31/12/2022 của Bộ trưởng Bộ Công an sửa đổi, bổ sung một số điều của Thông tư số </w:t>
      </w:r>
      <w:hyperlink r:id="rId9" w:tgtFrame="_blank" w:history="1">
        <w:r w:rsidRPr="000E418E">
          <w:rPr>
            <w:rFonts w:ascii="Arial" w:eastAsia="Times New Roman" w:hAnsi="Arial" w:cs="Arial"/>
            <w:color w:val="CC3300"/>
            <w:sz w:val="20"/>
            <w:szCs w:val="20"/>
            <w:u w:val="single"/>
            <w:bdr w:val="none" w:sz="0" w:space="0" w:color="auto" w:frame="1"/>
          </w:rPr>
          <w:t>73/2021/TT-BCA</w:t>
        </w:r>
      </w:hyperlink>
      <w:r w:rsidRPr="000E418E">
        <w:rPr>
          <w:rFonts w:ascii="Arial" w:eastAsia="Times New Roman" w:hAnsi="Arial" w:cs="Arial"/>
          <w:color w:val="000000"/>
          <w:sz w:val="20"/>
          <w:szCs w:val="20"/>
        </w:rPr>
        <w:t> ngày 29/6/2021 của Bộ trưởng Bộ Công an quy định về mẫu hộ chiếu, giấy thông hành và các biểu mẫu liên quan.</w:t>
      </w:r>
    </w:p>
    <w:p w14:paraId="5E0E2819"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3. Bãi bỏ Điều 6 Thông tư số </w:t>
      </w:r>
      <w:hyperlink r:id="rId10" w:tgtFrame="_blank" w:history="1">
        <w:r w:rsidRPr="000E418E">
          <w:rPr>
            <w:rFonts w:ascii="Arial" w:eastAsia="Times New Roman" w:hAnsi="Arial" w:cs="Arial"/>
            <w:color w:val="CC3300"/>
            <w:sz w:val="20"/>
            <w:szCs w:val="20"/>
            <w:u w:val="single"/>
            <w:bdr w:val="none" w:sz="0" w:space="0" w:color="auto" w:frame="1"/>
          </w:rPr>
          <w:t>15/2022/TT-BCA</w:t>
        </w:r>
      </w:hyperlink>
      <w:r w:rsidRPr="000E418E">
        <w:rPr>
          <w:rFonts w:ascii="Arial" w:eastAsia="Times New Roman" w:hAnsi="Arial" w:cs="Arial"/>
          <w:color w:val="000000"/>
          <w:sz w:val="20"/>
          <w:szCs w:val="20"/>
        </w:rPr>
        <w:t> ngày 06 tháng 4 năm 2022 của Bộ trưởng Bộ Công an sửa đổi, bổ sung một số điều của Thông tư số </w:t>
      </w:r>
      <w:hyperlink r:id="rId11" w:tgtFrame="_blank" w:history="1">
        <w:r w:rsidRPr="000E418E">
          <w:rPr>
            <w:rFonts w:ascii="Arial" w:eastAsia="Times New Roman" w:hAnsi="Arial" w:cs="Arial"/>
            <w:color w:val="CC3300"/>
            <w:sz w:val="20"/>
            <w:szCs w:val="20"/>
            <w:u w:val="single"/>
            <w:bdr w:val="none" w:sz="0" w:space="0" w:color="auto" w:frame="1"/>
          </w:rPr>
          <w:t>43/2017/TT-BCA</w:t>
        </w:r>
      </w:hyperlink>
      <w:r w:rsidRPr="000E418E">
        <w:rPr>
          <w:rFonts w:ascii="Arial" w:eastAsia="Times New Roman" w:hAnsi="Arial" w:cs="Arial"/>
          <w:color w:val="000000"/>
          <w:sz w:val="20"/>
          <w:szCs w:val="20"/>
        </w:rPr>
        <w:t> ngày 20 tháng 10 năm 2017 của Bộ trưởng Bộ Công an quy định về trình tự cấp, thu hồi Giấy chứng nhận đủ điều kiện về an ninh, trật tự và sát hạch, cấp Chứng chỉ nghiệp vụ bảo vệ; Thông tư số </w:t>
      </w:r>
      <w:hyperlink r:id="rId12" w:tgtFrame="_blank" w:history="1">
        <w:r w:rsidRPr="000E418E">
          <w:rPr>
            <w:rFonts w:ascii="Arial" w:eastAsia="Times New Roman" w:hAnsi="Arial" w:cs="Arial"/>
            <w:color w:val="CC3300"/>
            <w:sz w:val="20"/>
            <w:szCs w:val="20"/>
            <w:u w:val="single"/>
            <w:bdr w:val="none" w:sz="0" w:space="0" w:color="auto" w:frame="1"/>
          </w:rPr>
          <w:t>45/2017/TT-BCA</w:t>
        </w:r>
      </w:hyperlink>
      <w:r w:rsidRPr="000E418E">
        <w:rPr>
          <w:rFonts w:ascii="Arial" w:eastAsia="Times New Roman" w:hAnsi="Arial" w:cs="Arial"/>
          <w:color w:val="000000"/>
          <w:sz w:val="20"/>
          <w:szCs w:val="20"/>
        </w:rPr>
        <w:t> ngày 20 tháng 10 năm 2017 của Bộ trưởng Bộ Công an quy định về trình tự đăng ký mẫu con dấu, thu hồi và hủy con dấu, hủy giá trị sử dụng con dấu, kiểm tra việc quản lý và sử dụng con dấu; Thông tư số </w:t>
      </w:r>
      <w:hyperlink r:id="rId13" w:tgtFrame="_blank" w:history="1">
        <w:r w:rsidRPr="000E418E">
          <w:rPr>
            <w:rFonts w:ascii="Arial" w:eastAsia="Times New Roman" w:hAnsi="Arial" w:cs="Arial"/>
            <w:color w:val="CC3300"/>
            <w:sz w:val="20"/>
            <w:szCs w:val="20"/>
            <w:u w:val="single"/>
            <w:bdr w:val="none" w:sz="0" w:space="0" w:color="auto" w:frame="1"/>
          </w:rPr>
          <w:t>58/2020/TT-BCA</w:t>
        </w:r>
      </w:hyperlink>
      <w:r w:rsidRPr="000E418E">
        <w:rPr>
          <w:rFonts w:ascii="Arial" w:eastAsia="Times New Roman" w:hAnsi="Arial" w:cs="Arial"/>
          <w:color w:val="000000"/>
          <w:sz w:val="20"/>
          <w:szCs w:val="20"/>
        </w:rPr>
        <w:t> ngày 16 tháng 6 năm 2020 của Bộ trưởng Bộ Công an quy định quy trình cấp, thu hồi đăng ký, biển số phương tiện giao thông cơ giới đường bộ; Thông tư số </w:t>
      </w:r>
      <w:hyperlink r:id="rId14" w:tgtFrame="_blank" w:history="1">
        <w:r w:rsidRPr="000E418E">
          <w:rPr>
            <w:rFonts w:ascii="Arial" w:eastAsia="Times New Roman" w:hAnsi="Arial" w:cs="Arial"/>
            <w:color w:val="CC3300"/>
            <w:sz w:val="20"/>
            <w:szCs w:val="20"/>
            <w:u w:val="single"/>
            <w:bdr w:val="none" w:sz="0" w:space="0" w:color="auto" w:frame="1"/>
          </w:rPr>
          <w:t>65/2020/TT-BCA</w:t>
        </w:r>
      </w:hyperlink>
      <w:r w:rsidRPr="000E418E">
        <w:rPr>
          <w:rFonts w:ascii="Arial" w:eastAsia="Times New Roman" w:hAnsi="Arial" w:cs="Arial"/>
          <w:color w:val="000000"/>
          <w:sz w:val="20"/>
          <w:szCs w:val="20"/>
        </w:rPr>
        <w:t> ngày 19 tháng 6 năm 2020 của Bộ trưởng Bộ Công an quy định nhiệm vụ, quyền hạn, hình thức, nội dung và quy trình tuần tra, kiểm soát, xử lý vi phạm hành chính về giao thông đường bộ của Cảnh sát giao thông; Thông tư số </w:t>
      </w:r>
      <w:hyperlink r:id="rId15" w:tgtFrame="_blank" w:history="1">
        <w:r w:rsidRPr="000E418E">
          <w:rPr>
            <w:rFonts w:ascii="Arial" w:eastAsia="Times New Roman" w:hAnsi="Arial" w:cs="Arial"/>
            <w:color w:val="CC3300"/>
            <w:sz w:val="20"/>
            <w:szCs w:val="20"/>
            <w:u w:val="single"/>
            <w:bdr w:val="none" w:sz="0" w:space="0" w:color="auto" w:frame="1"/>
          </w:rPr>
          <w:t>68/2020/TT-BCA</w:t>
        </w:r>
      </w:hyperlink>
      <w:r w:rsidRPr="000E418E">
        <w:rPr>
          <w:rFonts w:ascii="Arial" w:eastAsia="Times New Roman" w:hAnsi="Arial" w:cs="Arial"/>
          <w:color w:val="000000"/>
          <w:sz w:val="20"/>
          <w:szCs w:val="20"/>
        </w:rPr>
        <w:t> ngày 19 tháng 6 năm 2020 của Bộ trưởng Bộ Công an quy định về quy trình tuần tra, kiểm soát và xử lý vi phạm hành chính của Cảnh sát đường thủy; Thông tư số </w:t>
      </w:r>
      <w:hyperlink r:id="rId16" w:tgtFrame="_blank" w:history="1">
        <w:r w:rsidRPr="000E418E">
          <w:rPr>
            <w:rFonts w:ascii="Arial" w:eastAsia="Times New Roman" w:hAnsi="Arial" w:cs="Arial"/>
            <w:color w:val="CC3300"/>
            <w:sz w:val="20"/>
            <w:szCs w:val="20"/>
            <w:u w:val="single"/>
            <w:bdr w:val="none" w:sz="0" w:space="0" w:color="auto" w:frame="1"/>
          </w:rPr>
          <w:t>73/2021/TT-BCA</w:t>
        </w:r>
      </w:hyperlink>
      <w:r w:rsidRPr="000E418E">
        <w:rPr>
          <w:rFonts w:ascii="Arial" w:eastAsia="Times New Roman" w:hAnsi="Arial" w:cs="Arial"/>
          <w:color w:val="000000"/>
          <w:sz w:val="20"/>
          <w:szCs w:val="20"/>
        </w:rPr>
        <w:t> ngày 29 tháng 6 năm 2021 của Bộ trưởng Bộ Công an quy định về mẫu hộ chiếu, giấy thông hành và các biểu mẫu liên quan.</w:t>
      </w:r>
    </w:p>
    <w:p w14:paraId="602520C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b/>
          <w:bCs/>
          <w:color w:val="000000"/>
          <w:sz w:val="20"/>
          <w:szCs w:val="20"/>
          <w:bdr w:val="none" w:sz="0" w:space="0" w:color="auto" w:frame="1"/>
        </w:rPr>
        <w:t>Điều </w:t>
      </w:r>
      <w:bookmarkStart w:id="6" w:name="Dieu_7"/>
      <w:bookmarkEnd w:id="6"/>
      <w:r w:rsidRPr="000E418E">
        <w:rPr>
          <w:rFonts w:ascii="Arial" w:eastAsia="Times New Roman" w:hAnsi="Arial" w:cs="Arial"/>
          <w:b/>
          <w:bCs/>
          <w:color w:val="000000"/>
          <w:sz w:val="20"/>
          <w:szCs w:val="20"/>
          <w:bdr w:val="none" w:sz="0" w:space="0" w:color="auto" w:frame="1"/>
        </w:rPr>
        <w:t>7. Trách nhiệm thi hành</w:t>
      </w:r>
    </w:p>
    <w:p w14:paraId="0B670FAB"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1. Cục Quản lý xuất nhập cảnh có trách nhiệm chủ trì, phối hợp với các cơ quan, đơn vị liên quan và Công an địa phương tổ chức thực hiện; hướng dẫn, kiểm tra việc thực hiện Thông tư này.</w:t>
      </w:r>
    </w:p>
    <w:p w14:paraId="0BD0CE65"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2. Quá trình triển khai nếu có khó khăn, vướng mắc, cơ quan, đơn vị, cá nhân trao đổi về Bộ Công an (qua Cục Quản lý xuất nhập cảnh) để được hướng dẫn./.</w:t>
      </w:r>
    </w:p>
    <w:p w14:paraId="648A9FCD" w14:textId="77777777" w:rsidR="000E418E" w:rsidRPr="000E418E" w:rsidRDefault="000E418E" w:rsidP="000E418E">
      <w:pPr>
        <w:shd w:val="clear" w:color="auto" w:fill="FFFFFF"/>
        <w:spacing w:after="0" w:line="320" w:lineRule="atLeast"/>
        <w:ind w:firstLine="0"/>
        <w:jc w:val="both"/>
        <w:textAlignment w:val="baseline"/>
        <w:rPr>
          <w:rFonts w:ascii="Arial" w:eastAsia="Times New Roman" w:hAnsi="Arial" w:cs="Arial"/>
          <w:color w:val="000000"/>
          <w:sz w:val="20"/>
          <w:szCs w:val="20"/>
        </w:rPr>
      </w:pPr>
      <w:r w:rsidRPr="000E418E">
        <w:rPr>
          <w:rFonts w:ascii="Arial" w:eastAsia="Times New Roman" w:hAnsi="Arial" w:cs="Arial"/>
          <w:color w:val="000000"/>
          <w:sz w:val="20"/>
          <w:szCs w:val="20"/>
        </w:rPr>
        <w:t> </w:t>
      </w:r>
    </w:p>
    <w:tbl>
      <w:tblPr>
        <w:tblW w:w="11376" w:type="dxa"/>
        <w:tblCellMar>
          <w:left w:w="0" w:type="dxa"/>
          <w:right w:w="0" w:type="dxa"/>
        </w:tblCellMar>
        <w:tblLook w:val="04A0" w:firstRow="1" w:lastRow="0" w:firstColumn="1" w:lastColumn="0" w:noHBand="0" w:noVBand="1"/>
      </w:tblPr>
      <w:tblGrid>
        <w:gridCol w:w="11358"/>
        <w:gridCol w:w="6"/>
        <w:gridCol w:w="6"/>
        <w:gridCol w:w="6"/>
      </w:tblGrid>
      <w:tr w:rsidR="000E418E" w:rsidRPr="000E418E" w14:paraId="5F8439AD" w14:textId="77777777" w:rsidTr="000E418E">
        <w:trPr>
          <w:gridAfter w:val="3"/>
        </w:trPr>
        <w:tc>
          <w:tcPr>
            <w:tcW w:w="11370" w:type="dxa"/>
            <w:tcBorders>
              <w:top w:val="nil"/>
              <w:left w:val="nil"/>
              <w:bottom w:val="nil"/>
              <w:right w:val="nil"/>
            </w:tcBorders>
            <w:tcMar>
              <w:top w:w="30" w:type="dxa"/>
              <w:left w:w="0" w:type="dxa"/>
              <w:bottom w:w="30" w:type="dxa"/>
              <w:right w:w="0" w:type="dxa"/>
            </w:tcMar>
            <w:vAlign w:val="bottom"/>
            <w:hideMark/>
          </w:tcPr>
          <w:p w14:paraId="352174A2" w14:textId="77777777" w:rsidR="000E418E" w:rsidRPr="000E418E" w:rsidRDefault="000E418E" w:rsidP="000E418E">
            <w:pPr>
              <w:spacing w:after="0" w:line="240" w:lineRule="auto"/>
              <w:ind w:firstLine="0"/>
              <w:rPr>
                <w:rFonts w:ascii="Arial" w:eastAsia="Times New Roman" w:hAnsi="Arial" w:cs="Arial"/>
                <w:color w:val="000000"/>
                <w:sz w:val="20"/>
                <w:szCs w:val="20"/>
              </w:rPr>
            </w:pPr>
          </w:p>
        </w:tc>
      </w:tr>
      <w:tr w:rsidR="000E418E" w:rsidRPr="000E418E" w14:paraId="5E055AEB" w14:textId="77777777" w:rsidTr="000E418E">
        <w:trPr>
          <w:gridAfter w:val="3"/>
        </w:trPr>
        <w:tc>
          <w:tcPr>
            <w:tcW w:w="11370" w:type="dxa"/>
            <w:tcBorders>
              <w:top w:val="nil"/>
              <w:left w:val="nil"/>
              <w:bottom w:val="nil"/>
              <w:right w:val="nil"/>
            </w:tcBorders>
            <w:tcMar>
              <w:top w:w="30" w:type="dxa"/>
              <w:left w:w="0" w:type="dxa"/>
              <w:bottom w:w="30" w:type="dxa"/>
              <w:right w:w="0" w:type="dxa"/>
            </w:tcMar>
            <w:vAlign w:val="bottom"/>
            <w:hideMark/>
          </w:tcPr>
          <w:p w14:paraId="6EA57EFB" w14:textId="77777777" w:rsidR="000E418E" w:rsidRPr="000E418E" w:rsidRDefault="000E418E" w:rsidP="000E418E">
            <w:pPr>
              <w:spacing w:after="0" w:line="240" w:lineRule="auto"/>
              <w:ind w:firstLine="0"/>
              <w:jc w:val="center"/>
              <w:textAlignment w:val="baseline"/>
              <w:rPr>
                <w:rFonts w:ascii="Arial" w:eastAsia="Times New Roman" w:hAnsi="Arial" w:cs="Arial"/>
                <w:caps/>
                <w:color w:val="000000"/>
                <w:sz w:val="18"/>
                <w:szCs w:val="18"/>
              </w:rPr>
            </w:pPr>
            <w:r w:rsidRPr="000E418E">
              <w:rPr>
                <w:rFonts w:ascii="Arial" w:eastAsia="Times New Roman" w:hAnsi="Arial" w:cs="Arial"/>
                <w:caps/>
                <w:color w:val="000000"/>
                <w:sz w:val="18"/>
                <w:szCs w:val="18"/>
              </w:rPr>
              <w:t>Bộ trưởng</w:t>
            </w:r>
          </w:p>
        </w:tc>
      </w:tr>
      <w:tr w:rsidR="000E418E" w:rsidRPr="000E418E" w14:paraId="0B3DAEB4" w14:textId="77777777" w:rsidTr="000E418E">
        <w:trPr>
          <w:gridAfter w:val="3"/>
        </w:trPr>
        <w:tc>
          <w:tcPr>
            <w:tcW w:w="11370" w:type="dxa"/>
            <w:tcBorders>
              <w:top w:val="nil"/>
              <w:left w:val="nil"/>
              <w:bottom w:val="nil"/>
              <w:right w:val="nil"/>
            </w:tcBorders>
            <w:tcMar>
              <w:top w:w="30" w:type="dxa"/>
              <w:left w:w="0" w:type="dxa"/>
              <w:bottom w:w="30" w:type="dxa"/>
              <w:right w:w="0" w:type="dxa"/>
            </w:tcMar>
            <w:vAlign w:val="bottom"/>
            <w:hideMark/>
          </w:tcPr>
          <w:p w14:paraId="0E7DCD67" w14:textId="77777777" w:rsidR="000E418E" w:rsidRPr="000E418E" w:rsidRDefault="000E418E" w:rsidP="000E418E">
            <w:pPr>
              <w:spacing w:after="0" w:line="240" w:lineRule="auto"/>
              <w:ind w:firstLine="0"/>
              <w:jc w:val="center"/>
              <w:textAlignment w:val="baseline"/>
              <w:rPr>
                <w:rFonts w:ascii="Arial" w:eastAsia="Times New Roman" w:hAnsi="Arial" w:cs="Arial"/>
                <w:color w:val="000000"/>
                <w:sz w:val="18"/>
                <w:szCs w:val="18"/>
              </w:rPr>
            </w:pPr>
            <w:r w:rsidRPr="000E418E">
              <w:rPr>
                <w:rFonts w:ascii="Arial" w:eastAsia="Times New Roman" w:hAnsi="Arial" w:cs="Arial"/>
                <w:i/>
                <w:iCs/>
                <w:color w:val="000000"/>
                <w:sz w:val="20"/>
                <w:szCs w:val="20"/>
                <w:bdr w:val="none" w:sz="0" w:space="0" w:color="auto" w:frame="1"/>
              </w:rPr>
              <w:t>(Đã ký)</w:t>
            </w:r>
          </w:p>
        </w:tc>
      </w:tr>
      <w:tr w:rsidR="000E418E" w:rsidRPr="000E418E" w14:paraId="0D30D73C" w14:textId="77777777" w:rsidTr="000E418E">
        <w:tc>
          <w:tcPr>
            <w:tcW w:w="0" w:type="auto"/>
            <w:gridSpan w:val="4"/>
            <w:tcBorders>
              <w:top w:val="nil"/>
              <w:left w:val="nil"/>
              <w:bottom w:val="nil"/>
              <w:right w:val="nil"/>
            </w:tcBorders>
            <w:tcMar>
              <w:top w:w="30" w:type="dxa"/>
              <w:left w:w="0" w:type="dxa"/>
              <w:bottom w:w="30" w:type="dxa"/>
              <w:right w:w="0" w:type="dxa"/>
            </w:tcMar>
            <w:vAlign w:val="bottom"/>
            <w:hideMark/>
          </w:tcPr>
          <w:p w14:paraId="5863F167" w14:textId="77777777" w:rsidR="000E418E" w:rsidRPr="000E418E" w:rsidRDefault="000E418E" w:rsidP="000E418E">
            <w:pPr>
              <w:spacing w:after="0" w:line="240" w:lineRule="auto"/>
              <w:ind w:firstLine="0"/>
              <w:jc w:val="center"/>
              <w:rPr>
                <w:rFonts w:ascii="Arial" w:eastAsia="Times New Roman" w:hAnsi="Arial" w:cs="Arial"/>
                <w:color w:val="000000"/>
                <w:sz w:val="18"/>
                <w:szCs w:val="18"/>
              </w:rPr>
            </w:pPr>
            <w:r w:rsidRPr="000E418E">
              <w:rPr>
                <w:rFonts w:ascii="Arial" w:eastAsia="Times New Roman" w:hAnsi="Arial" w:cs="Arial"/>
                <w:color w:val="000000"/>
                <w:sz w:val="18"/>
                <w:szCs w:val="18"/>
              </w:rPr>
              <w:t> </w:t>
            </w:r>
          </w:p>
        </w:tc>
      </w:tr>
      <w:tr w:rsidR="000E418E" w:rsidRPr="000E418E" w14:paraId="00FB0DC4" w14:textId="77777777" w:rsidTr="000E418E">
        <w:tc>
          <w:tcPr>
            <w:tcW w:w="11370" w:type="dxa"/>
            <w:tcBorders>
              <w:top w:val="nil"/>
              <w:left w:val="nil"/>
              <w:bottom w:val="nil"/>
              <w:right w:val="nil"/>
            </w:tcBorders>
            <w:tcMar>
              <w:top w:w="30" w:type="dxa"/>
              <w:left w:w="0" w:type="dxa"/>
              <w:bottom w:w="30" w:type="dxa"/>
              <w:right w:w="0" w:type="dxa"/>
            </w:tcMar>
            <w:vAlign w:val="bottom"/>
            <w:hideMark/>
          </w:tcPr>
          <w:p w14:paraId="25BDD1F8" w14:textId="77777777" w:rsidR="000E418E" w:rsidRPr="000E418E" w:rsidRDefault="000E418E" w:rsidP="000E418E">
            <w:pPr>
              <w:spacing w:after="0" w:line="240" w:lineRule="auto"/>
              <w:ind w:firstLine="0"/>
              <w:jc w:val="center"/>
              <w:textAlignment w:val="baseline"/>
              <w:rPr>
                <w:rFonts w:ascii="Arial" w:eastAsia="Times New Roman" w:hAnsi="Arial" w:cs="Arial"/>
                <w:color w:val="000000"/>
                <w:sz w:val="18"/>
                <w:szCs w:val="18"/>
              </w:rPr>
            </w:pPr>
            <w:r w:rsidRPr="000E418E">
              <w:rPr>
                <w:rFonts w:ascii="Arial" w:eastAsia="Times New Roman" w:hAnsi="Arial" w:cs="Arial"/>
                <w:color w:val="000000"/>
                <w:sz w:val="18"/>
                <w:szCs w:val="18"/>
              </w:rPr>
              <w:t>Tô Lâm</w:t>
            </w:r>
          </w:p>
        </w:tc>
        <w:tc>
          <w:tcPr>
            <w:tcW w:w="0" w:type="auto"/>
            <w:vAlign w:val="center"/>
            <w:hideMark/>
          </w:tcPr>
          <w:p w14:paraId="7E2CE145" w14:textId="77777777" w:rsidR="000E418E" w:rsidRPr="000E418E" w:rsidRDefault="000E418E" w:rsidP="000E418E">
            <w:pPr>
              <w:spacing w:after="0" w:line="240" w:lineRule="auto"/>
              <w:ind w:firstLine="0"/>
              <w:rPr>
                <w:rFonts w:eastAsia="Times New Roman"/>
                <w:sz w:val="20"/>
                <w:szCs w:val="20"/>
              </w:rPr>
            </w:pPr>
          </w:p>
        </w:tc>
        <w:tc>
          <w:tcPr>
            <w:tcW w:w="0" w:type="auto"/>
            <w:vAlign w:val="center"/>
            <w:hideMark/>
          </w:tcPr>
          <w:p w14:paraId="1ACB0D87" w14:textId="77777777" w:rsidR="000E418E" w:rsidRPr="000E418E" w:rsidRDefault="000E418E" w:rsidP="000E418E">
            <w:pPr>
              <w:spacing w:after="0" w:line="240" w:lineRule="auto"/>
              <w:ind w:firstLine="0"/>
              <w:rPr>
                <w:rFonts w:eastAsia="Times New Roman"/>
                <w:sz w:val="20"/>
                <w:szCs w:val="20"/>
              </w:rPr>
            </w:pPr>
          </w:p>
        </w:tc>
        <w:tc>
          <w:tcPr>
            <w:tcW w:w="0" w:type="auto"/>
            <w:vAlign w:val="center"/>
            <w:hideMark/>
          </w:tcPr>
          <w:p w14:paraId="7AD2B873" w14:textId="77777777" w:rsidR="000E418E" w:rsidRPr="000E418E" w:rsidRDefault="000E418E" w:rsidP="000E418E">
            <w:pPr>
              <w:spacing w:after="0" w:line="240" w:lineRule="auto"/>
              <w:ind w:firstLine="0"/>
              <w:rPr>
                <w:rFonts w:eastAsia="Times New Roman"/>
                <w:sz w:val="20"/>
                <w:szCs w:val="20"/>
              </w:rPr>
            </w:pPr>
          </w:p>
        </w:tc>
      </w:tr>
    </w:tbl>
    <w:p w14:paraId="04556A4E" w14:textId="77777777" w:rsidR="007D0AC6" w:rsidRDefault="007D0AC6"/>
    <w:sectPr w:rsidR="007D0AC6" w:rsidSect="00B67785">
      <w:pgSz w:w="11907" w:h="16840" w:code="9"/>
      <w:pgMar w:top="1134" w:right="1134" w:bottom="1134" w:left="1701" w:header="567" w:footer="28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F"/>
    <w:rsid w:val="000E418E"/>
    <w:rsid w:val="00640C7B"/>
    <w:rsid w:val="00772B62"/>
    <w:rsid w:val="007B0A46"/>
    <w:rsid w:val="007D0AC6"/>
    <w:rsid w:val="00B67785"/>
    <w:rsid w:val="00C32F24"/>
    <w:rsid w:val="00DB208F"/>
    <w:rsid w:val="00E6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9E36"/>
  <w15:chartTrackingRefBased/>
  <w15:docId w15:val="{B9792BED-3A9A-4B77-945D-FCC0673A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20"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418E"/>
    <w:pPr>
      <w:spacing w:before="100" w:beforeAutospacing="1" w:after="100" w:afterAutospacing="1" w:line="240" w:lineRule="auto"/>
      <w:ind w:firstLine="0"/>
    </w:pPr>
    <w:rPr>
      <w:rFonts w:eastAsia="Times New Roman"/>
      <w:sz w:val="24"/>
      <w:szCs w:val="24"/>
    </w:rPr>
  </w:style>
  <w:style w:type="character" w:styleId="Strong">
    <w:name w:val="Strong"/>
    <w:basedOn w:val="DefaultParagraphFont"/>
    <w:uiPriority w:val="22"/>
    <w:qFormat/>
    <w:rsid w:val="000E418E"/>
    <w:rPr>
      <w:b/>
      <w:bCs/>
    </w:rPr>
  </w:style>
  <w:style w:type="character" w:styleId="Emphasis">
    <w:name w:val="Emphasis"/>
    <w:basedOn w:val="DefaultParagraphFont"/>
    <w:uiPriority w:val="20"/>
    <w:qFormat/>
    <w:rsid w:val="000E418E"/>
    <w:rPr>
      <w:i/>
      <w:iCs/>
    </w:rPr>
  </w:style>
  <w:style w:type="character" w:styleId="Hyperlink">
    <w:name w:val="Hyperlink"/>
    <w:basedOn w:val="DefaultParagraphFont"/>
    <w:uiPriority w:val="99"/>
    <w:semiHidden/>
    <w:unhideWhenUsed/>
    <w:rsid w:val="000E41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7070862">
      <w:bodyDiv w:val="1"/>
      <w:marLeft w:val="0"/>
      <w:marRight w:val="0"/>
      <w:marTop w:val="0"/>
      <w:marBottom w:val="0"/>
      <w:divBdr>
        <w:top w:val="none" w:sz="0" w:space="0" w:color="auto"/>
        <w:left w:val="none" w:sz="0" w:space="0" w:color="auto"/>
        <w:bottom w:val="none" w:sz="0" w:space="0" w:color="auto"/>
        <w:right w:val="none" w:sz="0" w:space="0" w:color="auto"/>
      </w:divBdr>
      <w:divsChild>
        <w:div w:id="1435518558">
          <w:marLeft w:val="0"/>
          <w:marRight w:val="0"/>
          <w:marTop w:val="150"/>
          <w:marBottom w:val="0"/>
          <w:divBdr>
            <w:top w:val="none" w:sz="0" w:space="0" w:color="auto"/>
            <w:left w:val="none" w:sz="0" w:space="0" w:color="auto"/>
            <w:bottom w:val="none" w:sz="0" w:space="0" w:color="auto"/>
            <w:right w:val="none" w:sz="0" w:space="0" w:color="auto"/>
          </w:divBdr>
        </w:div>
        <w:div w:id="1025005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tw/pages/vbpq-timkiem.aspx?type=0&amp;s=1&amp;Keyword=68/2022/TT-BCA&amp;SearchIn=Title,Title1&amp;IsRec=1&amp;pv=0" TargetMode="External"/><Relationship Id="rId13" Type="http://schemas.openxmlformats.org/officeDocument/2006/relationships/hyperlink" Target="https://vbpl.vn/tw/pages/vbpq-timkiem.aspx?type=0&amp;s=1&amp;Keyword=58/2020/TT-BCA&amp;SearchIn=Title,Title1&amp;IsRec=1&amp;pv=0"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vbpl.vn/tw/pages/vbpq-timkiem.aspx?type=0&amp;s=1&amp;Keyword=73/2021/TT-BCA&amp;SearchIn=Title,Title1&amp;IsRec=1&amp;pv=0" TargetMode="External"/><Relationship Id="rId12" Type="http://schemas.openxmlformats.org/officeDocument/2006/relationships/hyperlink" Target="https://vbpl.vn/tw/pages/vbpq-timkiem.aspx?type=0&amp;s=1&amp;Keyword=45/2017/TT-BCA&amp;SearchIn=Title,Title1&amp;IsRec=1&amp;pv=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vbpl.vn/tw/pages/vbpq-timkiem.aspx?type=0&amp;s=1&amp;Keyword=73/2021/TT-BCA&amp;SearchIn=Title,Title1&amp;IsRec=1&amp;pv=0" TargetMode="External"/><Relationship Id="rId1" Type="http://schemas.openxmlformats.org/officeDocument/2006/relationships/styles" Target="styles.xml"/><Relationship Id="rId6" Type="http://schemas.openxmlformats.org/officeDocument/2006/relationships/hyperlink" Target="https://vbpl.vn/tw/pages/vbpq-timkiem.aspx?type=0&amp;s=1&amp;Keyword=76/2020/N%C4%90-CP&amp;SearchIn=Title,Title1&amp;IsRec=1&amp;pv=0" TargetMode="External"/><Relationship Id="rId11" Type="http://schemas.openxmlformats.org/officeDocument/2006/relationships/hyperlink" Target="https://vbpl.vn/tw/pages/vbpq-timkiem.aspx?type=0&amp;s=1&amp;Keyword=43/2017/TT-BCA&amp;SearchIn=Title,Title1&amp;IsRec=1&amp;pv=0" TargetMode="External"/><Relationship Id="rId5" Type="http://schemas.openxmlformats.org/officeDocument/2006/relationships/hyperlink" Target="https://vbpl.vn/tw/pages/vbpq-timkiem.aspx?type=0&amp;s=1&amp;Keyword=76/2020/N%C4%90-CP&amp;SearchIn=Title,Title1&amp;IsRec=1&amp;pv=0" TargetMode="External"/><Relationship Id="rId15" Type="http://schemas.openxmlformats.org/officeDocument/2006/relationships/hyperlink" Target="https://vbpl.vn/tw/pages/vbpq-timkiem.aspx?type=0&amp;s=1&amp;Keyword=68/2020/TT-BCA&amp;SearchIn=Title,Title1&amp;IsRec=1&amp;pv=0" TargetMode="External"/><Relationship Id="rId10" Type="http://schemas.openxmlformats.org/officeDocument/2006/relationships/hyperlink" Target="https://vbpl.vn/tw/pages/vbpq-timkiem.aspx?type=0&amp;s=1&amp;Keyword=15/2022/TT-BCA&amp;SearchIn=Title,Title1&amp;IsRec=1&amp;pv=0" TargetMode="External"/><Relationship Id="rId4" Type="http://schemas.openxmlformats.org/officeDocument/2006/relationships/hyperlink" Target="https://vbpl.vn/tw/pages/vbpq-timkiem.aspx?type=0&amp;s=1&amp;Keyword=01/2018/N%C4%90-CP&amp;SearchIn=Title,Title1&amp;IsRec=1&amp;pv=0" TargetMode="External"/><Relationship Id="rId9" Type="http://schemas.openxmlformats.org/officeDocument/2006/relationships/hyperlink" Target="https://vbpl.vn/tw/pages/vbpq-timkiem.aspx?type=0&amp;s=1&amp;Keyword=73/2021/TT-BCA&amp;SearchIn=Title,Title1&amp;IsRec=1&amp;pv=0" TargetMode="External"/><Relationship Id="rId14" Type="http://schemas.openxmlformats.org/officeDocument/2006/relationships/hyperlink" Target="https://vbpl.vn/tw/pages/vbpq-timkiem.aspx?type=0&amp;s=1&amp;Keyword=65/2020/TT-BCA&amp;SearchIn=Title,Title1&amp;IsRec=1&amp;p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1585</Words>
  <Characters>9037</Characters>
  <Application>Microsoft Office Word</Application>
  <DocSecurity>0</DocSecurity>
  <Lines>75</Lines>
  <Paragraphs>21</Paragraphs>
  <ScaleCrop>false</ScaleCrop>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 Đức</dc:creator>
  <cp:keywords/>
  <dc:description/>
  <cp:lastModifiedBy>Thái Đình Đức</cp:lastModifiedBy>
  <cp:revision>2</cp:revision>
  <dcterms:created xsi:type="dcterms:W3CDTF">2025-06-13T08:58:00Z</dcterms:created>
  <dcterms:modified xsi:type="dcterms:W3CDTF">2025-06-13T08:59:00Z</dcterms:modified>
</cp:coreProperties>
</file>