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Documento de Diretrizes e Conhecimento: Agente Virtual NEOOH</w:t>
      </w:r>
    </w:p>
    <w:p w:rsidR="00000000" w:rsidDel="00000000" w:rsidP="00000000" w:rsidRDefault="00000000" w:rsidRPr="00000000" w14:paraId="0000000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 Introdução e Posicionamento Institucional</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NEOOH é a principal operadora de mídia Out of Home (OOH) e Digital Out of Home (DOOH) no Brasil, especializada em ambientes de jornada de consumo e lazer. A empresa conecta marcas a consumidores em momentos de alta receptividade, utilizando tecnologia de ponta, métricas de audiência em tempo real e presença em locais premium. Com cobertura nacional, a NEOOH atua em mais de 180 terminais de passageiros e diversos outros locais estratégicos, como parques, supermercados, shoppings e espaços corporativos, gerando centenas de milhões de impactos anuais.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1.1. Missão, Visão e Valores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missão central da NEOOH é </w:t>
        <w:br w:type="textWrapping"/>
        <w:t xml:space="preserve">'Fazer a diferença, hoje e sempre', orientando uma cultura organizacional voltada para a ação, com foco em entregar resultados, produtos e serviços de alta qualidade e eficiência para seus clientes.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visão da empresa está associada à liderança e transformação do setor de mídia Out of Home por meio de inovação tecnológica e integração entre experiências físicas e digitais, criando novas formas de comunicação entre marcas e consumidores.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 valores e a cultura organizacional da NEOOH incluem:</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Comunicação franca e direta</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Foco total nos resultados dos clientes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Respeito, honestidade e ética</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Equipe de alta performance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Liberdade com responsabilidade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Comunicação interna transparente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Compromisso com as missões assumidas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Valorização dos desafios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Inovação e tecnologia</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Pensar grande e buscar protagonismo</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7">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 Sustentabilidade e Compromisso ESG</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NEOOH detém um pioneirismo global em responsabilidade ambiental no setor de publicidade exterior, sendo a primeira empresa de OOH do mundo a operar de forma 100% Carbon Free. A companhia compensa integralmente a pegada de carbono de todos os seus circuitos de mídia (digitais e estáticos), incluindo operações em aeroportos e terminais. Essa compensação é realizada através da climatech Moss, com foco em projetos de conservação de áreas ameaçadas na Amazônia. Ao veicular campanhas na NEOOH, as marcas parceiras garantem uma exibição com impacto ambiental zero, alinhando-se automaticamente às metas globais de sustentabilidade.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A">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1.3. Cultura Phygital Maker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Mais do que apenas exibir anúncios, a NEOOH se posiciona como uma Phygital Maker. Esse conceito define a capacidade técnica e criativa de integrar o mundo físico ao digital de forma nativa. A empresa conta com uma equipe interna de especialistas dedicada a desenvolver soluções de Phygital Touch, que conectam o impacto visual do OOH com a interatividade do mobile. O foco não está apenas na veiculação, mas na criação de novos produtos e tecnologias (como o OOH In-Game e o 3D Anamórfico) que permitem que a jornada do consumidor seja contínua entre o painel na rua e a tela do smartphone.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 Estatísticas de Eficácia e Argumentação (Gatilhos de Venda)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agente deve utilizar os seguintes dados oficiais da NEOOH para validar a proposta de valor perante o cliente: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Fixação do Olhar: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Anúncios DOOH aumentam em 63% o tempo de fixação do olhar em comparação a mídias estáticas tradicionais.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Lembrança de Marca: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Geram 47% mais lembrança visual das mensagens, garantindo que a marca permaneça no "top of mind" do consumidor.</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Poder do Criativo: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75% da eficácia de um anúncio OOH depende da qualidade do criativo.</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Regra de Ouro: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Anúncios com menos de 10 palavras têm 25% mais efetividade na memorização da mensagem.</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Impacto Neurocientífico do Digital Out of Home: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Segundo a Ocean Outdoor UK, “The Neuroscience behind DOOH”, os anúncios 3D retêm 3 vezes mais atenção que a mídia estática e têm 80% de chance de compartilhamento social.</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 Verticais de Atuação e Ativos Disponíveis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NEOOH atua em diversas verticais, oferecendo soluções de mídia em ambientes estratégicos: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9">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3.1. Parques e Bem-Estar</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 o lema "A vida acontece fora de casa", a NEOOH impacta 40 milhões de visitantes por ano em 18 parques estratégicos. A atuação em parques urbanos e turísticos no Brasil inclui:</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Cidades e Locais:</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São Paulo/SP: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Ibirapuera, Villa-Lobos, Trianon, Água Branca, Burle Marx, Mário Covas, Cantareira, Lajeado, Jardim Felicidade, Eucaliptos, Jacintho Alberto, Faria Lima, Horto Florestal.</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Brasília/DF:</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Pontão Lago Sul.</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Foz do Iguaçu/PR: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Parque Nacional do Iguaçu.</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Outros: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Itaimbezinho/RS, Rio do Boi/SC.</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Formatos: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Relógios digitais, totens de sinalização e projetos especiais.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Parcerias: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NEOOH participa da gestão de mídia e captação de patrocínios em parques administrados por concessionárias privadas, como Reserva Parques / LivePark (Villa-Lobos, Cândido Portinari, Água Branca, Zoológico de São Paulo, Safari, Jardim Botânico).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Cases Reais de Sucesso:</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Disney (Zootopia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Ativação de lazer (escalada) no Parque Villa-Lobos, transformando o filme em experiência física. Link: </w:t>
      </w:r>
      <w:hyperlink r:id="rId7">
        <w:r w:rsidDel="00000000" w:rsidR="00000000" w:rsidRPr="00000000">
          <w:rPr>
            <w:color w:val="1155cc"/>
            <w:u w:val="single"/>
            <w:rtl w:val="0"/>
          </w:rPr>
          <w:t xml:space="preserve">https://neooh.com.br/case/campanha-disney-zootopia-2/</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Spotify (Retrospectiva 2025):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Transformação do anfiteatro do Villa-Lobos em um espaço vivo de música e interação. Link: </w:t>
      </w:r>
      <w:hyperlink r:id="rId8">
        <w:r w:rsidDel="00000000" w:rsidR="00000000" w:rsidRPr="00000000">
          <w:rPr>
            <w:color w:val="0563c1"/>
            <w:u w:val="single"/>
            <w:rtl w:val="0"/>
          </w:rPr>
          <w:t xml:space="preserve">https://neooh.com.br/case/campanha-spotify-retrospectiva-202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Qualy (Sustentabilidade):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Instalação de descarte correto ("Potão") para estimular hábitos conscientes. Link</w:t>
      </w:r>
      <w:r w:rsidDel="00000000" w:rsidR="00000000" w:rsidRPr="00000000">
        <w:rPr>
          <w:rtl w:val="0"/>
        </w:rPr>
        <w:t xml:space="preserve">: </w:t>
      </w:r>
      <w:r w:rsidDel="00000000" w:rsidR="00000000" w:rsidRPr="00000000">
        <w:rPr>
          <w:b w:val="1"/>
          <w:bCs w:val="1"/>
          <w:rtl w:val="0"/>
        </w:rPr>
        <w:t xml:space="preserve"> </w:t>
      </w:r>
      <w:hyperlink r:id="rId9">
        <w:r w:rsidDel="00000000" w:rsidR="00000000" w:rsidRPr="00000000">
          <w:rPr>
            <w:color w:val="1155cc"/>
            <w:u w:val="single"/>
            <w:rtl w:val="0"/>
          </w:rPr>
          <w:t xml:space="preserve">https://neooh.com.br/case/campanha-qualy/</w:t>
        </w:r>
      </w:hyperlink>
      <w:r w:rsidDel="00000000" w:rsidR="00000000" w:rsidRPr="00000000">
        <w:rPr>
          <w:rtl w:val="0"/>
        </w:rPr>
      </w:r>
    </w:p>
    <w:p w:rsidR="00000000" w:rsidDel="00000000" w:rsidP="00000000" w:rsidRDefault="00000000" w:rsidRPr="00000000" w14:paraId="0000003C">
      <w:pPr>
        <w:numPr>
          <w:ilvl w:val="0"/>
          <w:numId w:val="1"/>
        </w:numPr>
        <w:spacing w:after="60" w:before="60" w:lineRule="auto"/>
        <w:ind w:left="720" w:hanging="360"/>
      </w:pPr>
      <w:r w:rsidDel="00000000" w:rsidR="00000000" w:rsidRPr="00000000">
        <w:rPr>
          <w:b w:val="1"/>
          <w:bCs w:val="1"/>
          <w:rtl w:val="0"/>
        </w:rPr>
        <w:t xml:space="preserve">Coca-Cola Femsa:</w:t>
      </w:r>
      <w:r w:rsidDel="00000000" w:rsidR="00000000" w:rsidRPr="00000000">
        <w:rPr>
          <w:rtl w:val="0"/>
        </w:rPr>
        <w:t xml:space="preserve"> </w:t>
      </w:r>
      <w:r w:rsidDel="00000000" w:rsidR="00000000" w:rsidRPr="00000000">
        <w:rPr>
          <w:b w:val="1"/>
          <w:bCs w:val="1"/>
          <w:rtl w:val="0"/>
        </w:rPr>
        <w:t xml:space="preserve">A árvore oficial de Natal de São Paulo transforma o Parque Villa-Lobos em um dos principais pontos de encontro da capital. Link: </w:t>
      </w:r>
      <w:hyperlink r:id="rId10">
        <w:r w:rsidDel="00000000" w:rsidR="00000000" w:rsidRPr="00000000">
          <w:rPr>
            <w:color w:val="0563c1"/>
            <w:u w:val="single"/>
            <w:rtl w:val="0"/>
          </w:rPr>
          <w:t xml:space="preserve">https://neooh.com.br/case/campanha-coca-cola-femsa-2/</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E">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3.2. Shopping Centers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NEOOH é líder nacional com a maior rede de telas digitais em shoppings, com mais de 30 mil telas digitais distribuídas pelo Brasil. O foco é a conversão imediata no Ponto de Venda (PDV), impactando classes A e B com alta intenção de compra.</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Formatos: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Mega LEDs em praças de alimentação, Diretórios Digitais (totens) nos corredores e telas em cancelas de estacionamento.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Status da Lista de Shoppings: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Lista detalhada de shoppings com inventário NEOOH não encontrada publicamente no site institucional.</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5">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3.3. Cafeterias e Conveniência</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Mídia de nicho ideal para momentos de pausa e alta frequência, impactando profissionais, estudantes e público urbano de alto poder aquisitivo.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Case Boca do Forno: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Presença em 14 lojas em Belo Horizonte/MG, utilizando circuitos digitais para impactar o consumidor no momento do café.</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Status da Lista de Cafeterias: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momento não temos uma lista de cafeterias com inventário de mídia NEOOH.</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C">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3.4. Clubes/Clubes Sociais e Esportivos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Ambiente de extrema exclusividade e fidelidade de audiência.</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Case Minas Tênis Clube: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Alcance de 81 mil associados e capacidade para 4.000 espectadores. Ideal para segmentação de alto luxo e lifestyle esportivo (Savassi/MG).</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Parcerias: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Parceria com Corinthians para mídia na Neo Química Arena e Parque São Jorge.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Status da Lista de Clubes: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Informações detalhadas de clubes com inventário de mídia não identificadas publicamente no site da empresa.</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 Especificações Técnicas e Inteligência de Dados</w:t>
      </w:r>
    </w:p>
    <w:p w:rsidR="00000000" w:rsidDel="00000000" w:rsidP="00000000" w:rsidRDefault="00000000" w:rsidRPr="00000000" w14:paraId="00000056">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4.1. Formatos de Mídia</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Arquivos: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Vídeos (MP4) ou Imagens (JPG/PNG).</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Duração: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Loops de 10 a 15 segundos.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Criação: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arte é responsabilidade do anunciante. Clareza e simplicidade são essenciais para o engajamento.</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B">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4.2. Inteligência de Dados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NEOOH utiliza computer vision e sensores para entregar:</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Impacto (OTS - Opportunity To See):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Fluxo real de pessoas frente ao ativo.</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Audiência Qualificada: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Segmentação estimada por gênero e faixa etária.</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Dwell Time: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Tempo de retenção visual.</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both"/>
        <w:rPr>
          <w:rFonts w:ascii="Times New Roman" w:cs="Times New Roman" w:eastAsia="Times New Roman" w:hAnsi="Times New Roman"/>
          <w:b w:val="1"/>
          <w:bCs w:val="1"/>
          <w:i w:val="0"/>
          <w:iCs w:val="0"/>
          <w:smallCaps w:val="0"/>
          <w:strike w:val="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32"/>
          <w:szCs w:val="32"/>
          <w:u w:val="none"/>
          <w:shd w:fill="auto" w:val="clear"/>
          <w:vertAlign w:val="baseline"/>
          <w:rtl w:val="0"/>
        </w:rPr>
        <w:t xml:space="preserve">6. FAQ e Cases de Sucesso</w:t>
      </w:r>
    </w:p>
    <w:p w:rsidR="00000000" w:rsidDel="00000000" w:rsidP="00000000" w:rsidRDefault="00000000" w:rsidRPr="00000000" w14:paraId="00000064">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both"/>
        <w:rPr>
          <w:rFonts w:ascii="Times New Roman" w:cs="Times New Roman" w:eastAsia="Times New Roman" w:hAnsi="Times New Roman"/>
          <w:b w:val="1"/>
          <w:bCs w:val="1"/>
          <w:i w:val="0"/>
          <w:iCs w:val="0"/>
          <w:smallCaps w:val="0"/>
          <w:strike w:val="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8"/>
          <w:szCs w:val="28"/>
          <w:u w:val="none"/>
          <w:shd w:fill="auto" w:val="clear"/>
          <w:vertAlign w:val="baseline"/>
          <w:rtl w:val="0"/>
        </w:rPr>
        <w:t xml:space="preserve">6.1. Perguntas Frequentes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Pergunta:</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"Onde posso ver exemplos das campanhas?"</w:t>
      </w:r>
    </w:p>
    <w:p w:rsidR="00000000" w:rsidDel="00000000" w:rsidP="00000000" w:rsidRDefault="00000000" w:rsidRPr="00000000" w14:paraId="0000006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440" w:right="0" w:hanging="360"/>
        <w:jc w:val="both"/>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Resposta:</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"Você pode conferir nossos cases mais recentes, como os de Spotify </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e Disney, em nosso Instagram (@neooh_ooh) e no nosso canal do YouTube (REELS INSTITUCIONAL NEOOH 2025). Lá demonstramos como unimos o físico ao digital (Phygital). No link REELS INSTITUCIONAL NEOOH 2025."</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Pergunta:</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"Qual a vantagem de anunciar em parques?"</w:t>
      </w:r>
    </w:p>
    <w:p w:rsidR="00000000" w:rsidDel="00000000" w:rsidP="00000000" w:rsidRDefault="00000000" w:rsidRPr="00000000" w14:paraId="0000006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440" w:right="0" w:hanging="360"/>
        <w:jc w:val="both"/>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Resposta:</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"Nos parques, sua marca se conecta emocionalmente com 40 milhões de pessoas em momentos de alegria e relaxamento. É uma audiência receptiva e atenta."</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Pergunta:</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"Vocês fazem a arte do anúncio?"</w:t>
      </w:r>
    </w:p>
    <w:p w:rsidR="00000000" w:rsidDel="00000000" w:rsidP="00000000" w:rsidRDefault="00000000" w:rsidRPr="00000000" w14:paraId="0000006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60" w:before="60" w:line="240" w:lineRule="auto"/>
        <w:ind w:left="1440" w:right="0" w:hanging="360"/>
        <w:jc w:val="both"/>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Resposta:</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"Não produzimos as artes, mas orientamos que anúncios com menos de 10 palavras são 25% mais eficazes. Fornecemos o guia técnico completo após o fechamento."</w:t>
      </w:r>
    </w:p>
    <w:p w:rsidR="00000000" w:rsidDel="00000000" w:rsidP="00000000" w:rsidRDefault="00000000" w:rsidRPr="00000000" w14:paraId="0000006C">
      <w:pPr>
        <w:spacing w:after="60" w:before="60" w:lineRule="auto"/>
        <w:ind w:left="0" w:firstLine="0"/>
        <w:rPr>
          <w:b w:val="1"/>
          <w:bCs w:val="1"/>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Exemplos de Clientes:</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Algumas marcas que já anunciaram na plataforma incluem Google, Itaú, TIM, Sprite, Johnnie Walker e Vivo. Essas campanhas utilizam os circuitos digitais da NEOOH para ampliar o alcance da comunicação das marcas.</w:t>
      </w:r>
    </w:p>
    <w:p w:rsidR="00000000" w:rsidDel="00000000" w:rsidP="00000000" w:rsidRDefault="00000000" w:rsidRPr="00000000" w14:paraId="00000071">
      <w:pPr>
        <w:keepNext w:val="1"/>
        <w:spacing w:after="200" w:before="400" w:lineRule="auto"/>
        <w:jc w:val="both"/>
        <w:rPr>
          <w:b w:val="1"/>
          <w:bCs w:val="1"/>
          <w:sz w:val="32"/>
          <w:szCs w:val="32"/>
        </w:rPr>
      </w:pPr>
      <w:r w:rsidDel="00000000" w:rsidR="00000000" w:rsidRPr="00000000">
        <w:rPr>
          <w:b w:val="1"/>
          <w:bCs w:val="1"/>
          <w:sz w:val="32"/>
          <w:szCs w:val="32"/>
          <w:rtl w:val="0"/>
        </w:rPr>
        <w:t xml:space="preserve">7. FAQ e Cases de Sucesso</w:t>
      </w:r>
    </w:p>
    <w:p w:rsidR="00000000" w:rsidDel="00000000" w:rsidP="00000000" w:rsidRDefault="00000000" w:rsidRPr="00000000" w14:paraId="00000072">
      <w:pPr>
        <w:keepNext w:val="1"/>
        <w:spacing w:after="160" w:before="320" w:lineRule="auto"/>
        <w:jc w:val="both"/>
        <w:rPr/>
      </w:pPr>
      <w:r w:rsidDel="00000000" w:rsidR="00000000" w:rsidRPr="00000000">
        <w:rPr>
          <w:b w:val="1"/>
          <w:bCs w:val="1"/>
          <w:sz w:val="28"/>
          <w:szCs w:val="28"/>
          <w:rtl w:val="0"/>
        </w:rPr>
        <w:t xml:space="preserve">6.1. Perguntas Frequentes</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color="0563c1"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MdSpace">
    <w:name w:val="MdSpace"/>
    <w:basedOn w:val="Normal"/>
    <w:next w:val="Normal"/>
    <w:qFormat w:val="1"/>
    <w:pPr>
      <w:spacing w:after="0" w:before="0"/>
    </w:pPr>
    <w:rPr>
      <w:sz w:val="12"/>
      <w:szCs w:val="12"/>
    </w:rPr>
  </w:style>
  <w:style w:type="paragraph" w:styleId="MdCode">
    <w:name w:val="MdCode"/>
    <w:basedOn w:val="Normal"/>
    <w:next w:val="Normal"/>
    <w:qFormat w:val="1"/>
    <w:pPr>
      <w:pBdr>
        <w:top w:color="a5a5a5" w:space="8" w:sz="1" w:val="single"/>
        <w:left w:color="a5a5a5" w:space="8" w:sz="1" w:val="single"/>
        <w:bottom w:color="a5a5a5" w:space="8" w:sz="1" w:val="single"/>
        <w:right w:color="a5a5a5" w:space="8" w:sz="1" w:val="single"/>
      </w:pBdr>
      <w:spacing w:after="200" w:before="200"/>
    </w:pPr>
    <w:rPr>
      <w:rFonts w:ascii="Courier New" w:cs="Courier New" w:eastAsia="Courier New" w:hAnsi="Courier New"/>
      <w:color w:val="70ad47"/>
      <w:sz w:val="22"/>
      <w:szCs w:val="22"/>
    </w:rPr>
  </w:style>
  <w:style w:type="paragraph" w:styleId="MdHr">
    <w:name w:val="MdHr"/>
    <w:basedOn w:val="Normal"/>
    <w:next w:val="Normal"/>
    <w:qFormat w:val="1"/>
    <w:pPr>
      <w:pBdr>
        <w:bottom w:color="a5a5a5" w:space="1" w:sz="1" w:val="single"/>
      </w:pBdr>
      <w:spacing w:after="240" w:before="240"/>
    </w:pPr>
  </w:style>
  <w:style w:type="paragraph" w:styleId="MdBlockquote">
    <w:name w:val="MdBlockquote"/>
    <w:basedOn w:val="Normal"/>
    <w:next w:val="Normal"/>
    <w:qFormat w:val="1"/>
    <w:pPr>
      <w:pBdr>
        <w:left w:color="a5a5a5" w:space="12" w:sz="20" w:val="single"/>
      </w:pBdr>
      <w:spacing w:after="200" w:before="200"/>
      <w:ind w:left="360"/>
    </w:pPr>
    <w:rPr>
      <w:i w:val="1"/>
      <w:iCs w:val="1"/>
      <w:color w:val="666666"/>
    </w:rPr>
  </w:style>
  <w:style w:type="paragraph" w:styleId="MdHtml">
    <w:name w:val="MdHtml"/>
    <w:basedOn w:val="Normal"/>
    <w:next w:val="Normal"/>
    <w:qFormat w:val="1"/>
    <w:rPr>
      <w:rFonts w:ascii="Courier New" w:cs="Courier New" w:eastAsia="Courier New" w:hAnsi="Courier New"/>
      <w:color w:val="ed7d31"/>
    </w:rPr>
  </w:style>
  <w:style w:type="paragraph" w:styleId="MdDef">
    <w:name w:val="MdDef"/>
    <w:basedOn w:val="Normal"/>
    <w:next w:val="Normal"/>
    <w:qFormat w:val="1"/>
    <w:pPr>
      <w:ind w:left="720" w:hanging="360"/>
    </w:pPr>
  </w:style>
  <w:style w:type="paragraph" w:styleId="MdParagraph">
    <w:name w:val="MdParagraph"/>
    <w:basedOn w:val="Normal"/>
    <w:next w:val="Normal"/>
    <w:qFormat w:val="1"/>
    <w:pPr>
      <w:spacing w:after="120" w:before="120"/>
    </w:pPr>
  </w:style>
  <w:style w:type="paragraph" w:styleId="MdText">
    <w:name w:val="MdText"/>
    <w:basedOn w:val="Normal"/>
    <w:next w:val="Normal"/>
    <w:qFormat w:val="1"/>
  </w:style>
  <w:style w:type="paragraph" w:styleId="MdFootnote">
    <w:name w:val="MdFootnote"/>
    <w:basedOn w:val="Normal"/>
    <w:next w:val="Normal"/>
    <w:qFormat w:val="1"/>
    <w:rPr>
      <w:vertAlign w:val="superscript"/>
    </w:rPr>
  </w:style>
  <w:style w:type="paragraph" w:styleId="MdListItem">
    <w:name w:val="MdListItem"/>
    <w:basedOn w:val="Normal"/>
    <w:next w:val="Normal"/>
    <w:qFormat w:val="1"/>
    <w:pPr>
      <w:spacing w:after="60" w:before="60"/>
      <w:ind w:left="720" w:hanging="360"/>
    </w:pPr>
  </w:style>
  <w:style w:type="paragraph" w:styleId="MdTable">
    <w:name w:val="MdTable"/>
    <w:basedOn w:val="Normal"/>
    <w:next w:val="Normal"/>
    <w:qFormat w:val="1"/>
    <w:pPr>
      <w:spacing w:after="60" w:before="60"/>
    </w:pPr>
  </w:style>
  <w:style w:type="paragraph" w:styleId="MdTableHeader">
    <w:name w:val="MdTableHeader"/>
    <w:basedOn w:val="Normal"/>
    <w:next w:val="Normal"/>
    <w:qFormat w:val="1"/>
    <w:pPr>
      <w:spacing w:after="60" w:before="60"/>
    </w:pPr>
    <w:rPr>
      <w:b w:val="1"/>
      <w:bCs w:val="1"/>
      <w:sz w:val="22"/>
      <w:szCs w:val="22"/>
    </w:rPr>
  </w:style>
  <w:style w:type="paragraph" w:styleId="MdTableCell">
    <w:name w:val="MdTableCell"/>
    <w:basedOn w:val="Normal"/>
    <w:next w:val="Normal"/>
    <w:qFormat w:val="1"/>
    <w:pPr>
      <w:spacing w:after="40" w:before="40"/>
    </w:pPr>
    <w:rPr>
      <w:sz w:val="20"/>
      <w:szCs w:val="20"/>
    </w:rPr>
  </w:style>
  <w:style w:type="paragraph" w:styleId="MdHeading1">
    <w:name w:val="MdHeading1"/>
    <w:basedOn w:val="Normal"/>
    <w:next w:val="Normal"/>
    <w:qFormat w:val="1"/>
    <w:pPr>
      <w:keepNext w:val="1"/>
      <w:spacing w:after="240" w:before="480"/>
      <w:outlineLvl w:val="0"/>
    </w:pPr>
    <w:rPr>
      <w:b w:val="1"/>
      <w:bCs w:val="1"/>
      <w:sz w:val="36"/>
      <w:szCs w:val="36"/>
    </w:rPr>
  </w:style>
  <w:style w:type="paragraph" w:styleId="MdHeading2">
    <w:name w:val="MdHeading2"/>
    <w:basedOn w:val="Normal"/>
    <w:next w:val="Normal"/>
    <w:qFormat w:val="1"/>
    <w:pPr>
      <w:keepNext w:val="1"/>
      <w:spacing w:after="200" w:before="400"/>
      <w:outlineLvl w:val="1"/>
    </w:pPr>
    <w:rPr>
      <w:b w:val="1"/>
      <w:bCs w:val="1"/>
      <w:sz w:val="32"/>
      <w:szCs w:val="32"/>
    </w:rPr>
  </w:style>
  <w:style w:type="paragraph" w:styleId="MdHeading3">
    <w:name w:val="MdHeading3"/>
    <w:basedOn w:val="Normal"/>
    <w:next w:val="Normal"/>
    <w:qFormat w:val="1"/>
    <w:pPr>
      <w:keepNext w:val="1"/>
      <w:spacing w:after="160" w:before="320"/>
      <w:outlineLvl w:val="2"/>
    </w:pPr>
    <w:rPr>
      <w:b w:val="1"/>
      <w:bCs w:val="1"/>
      <w:sz w:val="28"/>
      <w:szCs w:val="28"/>
    </w:rPr>
  </w:style>
  <w:style w:type="paragraph" w:styleId="MdHeading4">
    <w:name w:val="MdHeading4"/>
    <w:basedOn w:val="Normal"/>
    <w:next w:val="Normal"/>
    <w:qFormat w:val="1"/>
    <w:pPr>
      <w:keepNext w:val="1"/>
      <w:spacing w:after="140" w:before="280"/>
      <w:outlineLvl w:val="3"/>
    </w:pPr>
    <w:rPr>
      <w:b w:val="1"/>
      <w:bCs w:val="1"/>
      <w:sz w:val="26"/>
      <w:szCs w:val="26"/>
    </w:rPr>
  </w:style>
  <w:style w:type="paragraph" w:styleId="MdHeading5">
    <w:name w:val="MdHeading5"/>
    <w:basedOn w:val="Normal"/>
    <w:next w:val="Normal"/>
    <w:qFormat w:val="1"/>
    <w:pPr>
      <w:keepNext w:val="1"/>
      <w:spacing w:after="120" w:before="240"/>
      <w:outlineLvl w:val="4"/>
    </w:pPr>
    <w:rPr>
      <w:b w:val="1"/>
      <w:bCs w:val="1"/>
      <w:i w:val="1"/>
      <w:iCs w:val="1"/>
      <w:sz w:val="24"/>
      <w:szCs w:val="24"/>
    </w:rPr>
  </w:style>
  <w:style w:type="paragraph" w:styleId="MdHeading6">
    <w:name w:val="MdHeading6"/>
    <w:basedOn w:val="Normal"/>
    <w:next w:val="Normal"/>
    <w:qFormat w:val="1"/>
    <w:pPr>
      <w:keepNext w:val="1"/>
      <w:spacing w:after="120" w:before="240"/>
      <w:outlineLvl w:val="5"/>
    </w:pPr>
    <w:rPr>
      <w:b w:val="0"/>
      <w:bCs w:val="0"/>
      <w:i w:val="1"/>
      <w:iCs w:val="1"/>
      <w:sz w:val="24"/>
      <w:szCs w:val="24"/>
    </w:rPr>
  </w:style>
  <w:style w:type="character" w:styleId="MdTag">
    <w:name w:val="MdTag"/>
    <w:basedOn w:val="Normal"/>
    <w:next w:val="Normal"/>
    <w:uiPriority w:val="99"/>
    <w:unhideWhenUsed w:val="1"/>
    <w:qFormat w:val="1"/>
    <w:rPr>
      <w:rFonts w:ascii="Courier New" w:cs="Courier New" w:eastAsia="Courier New" w:hAnsi="Courier New"/>
      <w:color w:val="ed7d31"/>
    </w:rPr>
  </w:style>
  <w:style w:type="character" w:styleId="MdLink">
    <w:name w:val="MdLink"/>
    <w:basedOn w:val="Normal"/>
    <w:next w:val="Normal"/>
    <w:uiPriority w:val="99"/>
    <w:unhideWhenUsed w:val="1"/>
    <w:qFormat w:val="1"/>
    <w:rPr>
      <w:color w:val="0563c1"/>
      <w:u w:val="single"/>
    </w:rPr>
  </w:style>
  <w:style w:type="character" w:styleId="MdStrong">
    <w:name w:val="MdStrong"/>
    <w:basedOn w:val="Normal"/>
    <w:next w:val="Normal"/>
    <w:uiPriority w:val="99"/>
    <w:unhideWhenUsed w:val="1"/>
    <w:qFormat w:val="1"/>
    <w:rPr>
      <w:b w:val="1"/>
      <w:bCs w:val="1"/>
    </w:rPr>
  </w:style>
  <w:style w:type="character" w:styleId="MdEm">
    <w:name w:val="MdEm"/>
    <w:basedOn w:val="Normal"/>
    <w:next w:val="Normal"/>
    <w:uiPriority w:val="99"/>
    <w:unhideWhenUsed w:val="1"/>
    <w:qFormat w:val="1"/>
    <w:rPr>
      <w:i w:val="1"/>
      <w:iCs w:val="1"/>
    </w:rPr>
  </w:style>
  <w:style w:type="character" w:styleId="MdCodespan">
    <w:name w:val="MdCodespan"/>
    <w:basedOn w:val="Normal"/>
    <w:next w:val="Normal"/>
    <w:uiPriority w:val="99"/>
    <w:unhideWhenUsed w:val="1"/>
    <w:qFormat w:val="1"/>
    <w:rPr>
      <w:rFonts w:ascii="Courier New" w:cs="Courier New" w:eastAsia="Courier New" w:hAnsi="Courier New"/>
      <w:color w:val="70ad47"/>
    </w:rPr>
  </w:style>
  <w:style w:type="character" w:styleId="MdDel">
    <w:name w:val="MdDel"/>
    <w:basedOn w:val="Normal"/>
    <w:next w:val="Normal"/>
    <w:uiPriority w:val="99"/>
    <w:unhideWhenUsed w:val="1"/>
    <w:qFormat w:val="1"/>
    <w:rPr>
      <w:strike w:val="1"/>
    </w:rPr>
  </w:style>
  <w:style w:type="character" w:styleId="MdBr">
    <w:name w:val="MdBr"/>
    <w:basedOn w:val="Normal"/>
    <w:next w:val="Normal"/>
    <w:uiPriority w:val="99"/>
    <w:unhideWhenUsed w:val="1"/>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neooh.com.br/case/campanha-coca-cola-femsa-2/" TargetMode="External"/><Relationship Id="rId9" Type="http://schemas.openxmlformats.org/officeDocument/2006/relationships/hyperlink" Target="https://neooh.com.br/case/campanha-qualy/"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neooh.com.br/case/campanha-disney-zootopia-2/" TargetMode="External"/><Relationship Id="rId8" Type="http://schemas.openxmlformats.org/officeDocument/2006/relationships/hyperlink" Target="https://neooh.com.br/case/campanha-spotify-retrospectiva-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U/PBim3v3kyoUfzLCrbmDSkw0A==">CgMxLjA4AHIhMXpacS1EcUNtSVZBbko1ZzdWS2NKaEpEazVuZWExLVZR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2026-03-13T00:54:45.355Z</dcterms:created>
  <dc:creator>md2docx converter</dc:creator>
</cp:coreProperties>
</file>

<file path=docProps/custom.xml><?xml version="1.0" encoding="utf-8"?>
<Properties xmlns="http://schemas.openxmlformats.org/officeDocument/2006/custom-properties" xmlns:vt="http://schemas.openxmlformats.org/officeDocument/2006/docPropsVTypes"/>
</file>