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ADC04C" w14:textId="77777777" w:rsidR="00A2193A" w:rsidRDefault="00A2193A" w:rsidP="00A2193A">
      <w:pPr>
        <w:spacing w:after="120"/>
        <w:jc w:val="center"/>
        <w:rPr>
          <w:b/>
          <w:bCs/>
          <w:sz w:val="48"/>
          <w:szCs w:val="48"/>
        </w:rPr>
      </w:pPr>
    </w:p>
    <w:p w14:paraId="59D1C0A6" w14:textId="77777777" w:rsidR="00A2193A" w:rsidRDefault="00A2193A" w:rsidP="00A2193A">
      <w:pPr>
        <w:spacing w:after="120"/>
        <w:jc w:val="center"/>
        <w:rPr>
          <w:b/>
          <w:bCs/>
          <w:sz w:val="48"/>
          <w:szCs w:val="48"/>
        </w:rPr>
      </w:pPr>
    </w:p>
    <w:p w14:paraId="3634CDCF" w14:textId="77777777" w:rsidR="00A2193A" w:rsidRDefault="00A2193A" w:rsidP="00A2193A">
      <w:pPr>
        <w:spacing w:after="120"/>
        <w:jc w:val="center"/>
        <w:rPr>
          <w:b/>
          <w:bCs/>
          <w:sz w:val="48"/>
          <w:szCs w:val="48"/>
        </w:rPr>
      </w:pPr>
    </w:p>
    <w:p w14:paraId="79EF146C" w14:textId="77777777" w:rsidR="00A2193A" w:rsidRDefault="00A2193A" w:rsidP="00A2193A">
      <w:pPr>
        <w:spacing w:after="120"/>
        <w:jc w:val="center"/>
        <w:rPr>
          <w:b/>
          <w:bCs/>
          <w:sz w:val="48"/>
          <w:szCs w:val="48"/>
        </w:rPr>
      </w:pPr>
    </w:p>
    <w:p w14:paraId="338D5B33" w14:textId="77777777" w:rsidR="00A2193A" w:rsidRDefault="00A2193A" w:rsidP="00A2193A">
      <w:pPr>
        <w:spacing w:after="120"/>
        <w:jc w:val="center"/>
        <w:rPr>
          <w:b/>
          <w:bCs/>
          <w:sz w:val="48"/>
          <w:szCs w:val="48"/>
        </w:rPr>
      </w:pPr>
    </w:p>
    <w:p w14:paraId="181EE975" w14:textId="5ED885AE" w:rsidR="00A2193A" w:rsidRPr="007475F0" w:rsidRDefault="00A2193A" w:rsidP="00A2193A">
      <w:pPr>
        <w:spacing w:after="120"/>
        <w:jc w:val="center"/>
        <w:rPr>
          <w:sz w:val="24"/>
          <w:szCs w:val="24"/>
        </w:rPr>
      </w:pPr>
      <w:r>
        <w:rPr>
          <w:b/>
          <w:bCs/>
          <w:sz w:val="48"/>
          <w:szCs w:val="48"/>
        </w:rPr>
        <w:t>NETFLIX EDTECH ENTRY (2026 – 2028)</w:t>
      </w:r>
    </w:p>
    <w:p w14:paraId="3C0E8224" w14:textId="77777777" w:rsidR="00A2193A" w:rsidRPr="00A2193A" w:rsidRDefault="00A2193A" w:rsidP="00A2193A">
      <w:pPr>
        <w:jc w:val="center"/>
        <w:rPr>
          <w:b/>
          <w:bCs/>
          <w:sz w:val="32"/>
          <w:szCs w:val="32"/>
        </w:rPr>
      </w:pPr>
      <w:r>
        <w:rPr>
          <w:b/>
          <w:bCs/>
          <w:sz w:val="32"/>
          <w:szCs w:val="32"/>
        </w:rPr>
        <w:t>QUANTITATIVE RISK ASSESSMENT - INDICATORS &amp; WARNING (I&amp;W) ANALYSIS</w:t>
      </w:r>
    </w:p>
    <w:p w14:paraId="3D23F336" w14:textId="77777777" w:rsidR="00A2193A" w:rsidRPr="002F56AC" w:rsidRDefault="00A2193A" w:rsidP="00A2193A">
      <w:pPr>
        <w:pBdr>
          <w:bottom w:val="single" w:sz="6" w:space="1" w:color="1F4E79"/>
        </w:pBdr>
        <w:spacing w:after="400"/>
      </w:pPr>
    </w:p>
    <w:p w14:paraId="27364353" w14:textId="77777777" w:rsidR="00A2193A" w:rsidRPr="002F56AC" w:rsidRDefault="00A2193A" w:rsidP="00A2193A">
      <w:pPr>
        <w:spacing w:after="120"/>
        <w:jc w:val="center"/>
        <w:rPr>
          <w:b/>
          <w:bCs/>
          <w:sz w:val="32"/>
          <w:szCs w:val="32"/>
        </w:rPr>
      </w:pPr>
      <w:r>
        <w:rPr>
          <w:b/>
          <w:bCs/>
          <w:sz w:val="32"/>
          <w:szCs w:val="32"/>
        </w:rPr>
        <w:t xml:space="preserve">Group 4 members: </w:t>
      </w:r>
    </w:p>
    <w:p w14:paraId="67C17F6C" w14:textId="77777777" w:rsidR="00A2193A" w:rsidRPr="002F56AC" w:rsidRDefault="00A2193A" w:rsidP="00A2193A">
      <w:pPr>
        <w:spacing w:line="360" w:lineRule="auto"/>
        <w:jc w:val="center"/>
        <w:rPr>
          <w:b/>
          <w:bCs/>
          <w:color w:val="444444"/>
          <w:sz w:val="24"/>
          <w:szCs w:val="24"/>
        </w:rPr>
      </w:pPr>
      <w:r>
        <w:rPr>
          <w:b/>
          <w:bCs/>
          <w:color w:val="444444"/>
          <w:sz w:val="24"/>
          <w:szCs w:val="24"/>
        </w:rPr>
        <w:t>Adewole F. Adelana</w:t>
      </w:r>
    </w:p>
    <w:p w14:paraId="05423BE3" w14:textId="77777777" w:rsidR="00A2193A" w:rsidRPr="002F56AC" w:rsidRDefault="00A2193A" w:rsidP="00A2193A">
      <w:pPr>
        <w:spacing w:line="360" w:lineRule="auto"/>
        <w:jc w:val="center"/>
        <w:rPr>
          <w:b/>
          <w:bCs/>
          <w:color w:val="444444"/>
          <w:sz w:val="24"/>
          <w:szCs w:val="24"/>
        </w:rPr>
      </w:pPr>
      <w:r>
        <w:rPr>
          <w:b/>
          <w:bCs/>
          <w:color w:val="444444"/>
          <w:sz w:val="24"/>
          <w:szCs w:val="24"/>
        </w:rPr>
        <w:t>Juliana Gyamfua</w:t>
      </w:r>
    </w:p>
    <w:p w14:paraId="59002B49" w14:textId="77777777" w:rsidR="00A2193A" w:rsidRPr="002F56AC" w:rsidRDefault="00A2193A" w:rsidP="00A2193A">
      <w:pPr>
        <w:spacing w:line="360" w:lineRule="auto"/>
        <w:jc w:val="center"/>
        <w:rPr>
          <w:b/>
          <w:bCs/>
          <w:color w:val="444444"/>
          <w:sz w:val="24"/>
          <w:szCs w:val="24"/>
        </w:rPr>
      </w:pPr>
      <w:r>
        <w:rPr>
          <w:b/>
          <w:bCs/>
          <w:color w:val="444444"/>
          <w:sz w:val="24"/>
          <w:szCs w:val="24"/>
        </w:rPr>
        <w:t>Thaise Gusson S. Domingos</w:t>
      </w:r>
    </w:p>
    <w:p w14:paraId="768975B8" w14:textId="77777777" w:rsidR="00A2193A" w:rsidRPr="002F56AC" w:rsidRDefault="00A2193A" w:rsidP="00A2193A">
      <w:pPr>
        <w:spacing w:line="360" w:lineRule="auto"/>
        <w:jc w:val="center"/>
        <w:rPr>
          <w:color w:val="444444"/>
          <w:sz w:val="24"/>
          <w:szCs w:val="24"/>
        </w:rPr>
      </w:pPr>
    </w:p>
    <w:p w14:paraId="12760AC2" w14:textId="77777777" w:rsidR="00A2193A" w:rsidRPr="002F56AC" w:rsidRDefault="00A2193A" w:rsidP="00A2193A">
      <w:pPr>
        <w:spacing w:line="360" w:lineRule="auto"/>
        <w:jc w:val="center"/>
        <w:rPr>
          <w:color w:val="444444"/>
          <w:sz w:val="24"/>
          <w:szCs w:val="24"/>
        </w:rPr>
      </w:pPr>
      <w:r>
        <w:rPr>
          <w:color w:val="444444"/>
          <w:sz w:val="24"/>
          <w:szCs w:val="24"/>
        </w:rPr>
        <w:t>Master of Professional Studies in Analytics</w:t>
      </w:r>
    </w:p>
    <w:p w14:paraId="55877224" w14:textId="77777777" w:rsidR="00A2193A" w:rsidRPr="002F56AC" w:rsidRDefault="00A2193A" w:rsidP="00A2193A">
      <w:pPr>
        <w:spacing w:line="360" w:lineRule="auto"/>
        <w:jc w:val="center"/>
        <w:rPr>
          <w:color w:val="444444"/>
          <w:sz w:val="24"/>
          <w:szCs w:val="24"/>
        </w:rPr>
      </w:pPr>
      <w:r>
        <w:rPr>
          <w:color w:val="444444"/>
          <w:sz w:val="24"/>
          <w:szCs w:val="24"/>
        </w:rPr>
        <w:t>Northeastern University, College of Professional Studies</w:t>
      </w:r>
    </w:p>
    <w:p w14:paraId="4832BBB9" w14:textId="77777777" w:rsidR="00A2193A" w:rsidRPr="002F56AC" w:rsidRDefault="00A2193A" w:rsidP="00A2193A">
      <w:pPr>
        <w:spacing w:line="360" w:lineRule="auto"/>
        <w:jc w:val="center"/>
        <w:rPr>
          <w:color w:val="444444"/>
          <w:sz w:val="24"/>
          <w:szCs w:val="24"/>
        </w:rPr>
      </w:pPr>
      <w:r>
        <w:rPr>
          <w:color w:val="444444"/>
          <w:sz w:val="24"/>
          <w:szCs w:val="24"/>
        </w:rPr>
        <w:t>ALY6130 – Risk Management for Analytics</w:t>
      </w:r>
    </w:p>
    <w:p w14:paraId="5D589095" w14:textId="77777777" w:rsidR="00A2193A" w:rsidRDefault="00A2193A" w:rsidP="00A2193A">
      <w:pPr>
        <w:spacing w:line="360" w:lineRule="auto"/>
        <w:jc w:val="center"/>
        <w:rPr>
          <w:color w:val="000000"/>
          <w:sz w:val="24"/>
          <w:szCs w:val="24"/>
          <w:shd w:val="clear" w:color="auto" w:fill="FFFFFF"/>
        </w:rPr>
      </w:pPr>
      <w:r>
        <w:rPr>
          <w:color w:val="444444"/>
          <w:sz w:val="24"/>
          <w:szCs w:val="24"/>
        </w:rPr>
        <w:t xml:space="preserve">Professor: </w:t>
      </w:r>
      <w:r>
        <w:rPr>
          <w:color w:val="000000"/>
          <w:sz w:val="24"/>
          <w:szCs w:val="24"/>
          <w:shd w:val="clear" w:color="auto" w:fill="FFFFFF"/>
        </w:rPr>
        <w:t>Abeba N. Turi</w:t>
      </w:r>
    </w:p>
    <w:p w14:paraId="4EEC2382" w14:textId="77777777" w:rsidR="00A2193A" w:rsidRDefault="00A2193A" w:rsidP="00A2193A">
      <w:pPr>
        <w:spacing w:line="360" w:lineRule="auto"/>
        <w:jc w:val="center"/>
        <w:rPr>
          <w:color w:val="000000"/>
          <w:sz w:val="24"/>
          <w:szCs w:val="24"/>
          <w:shd w:val="clear" w:color="auto" w:fill="FFFFFF"/>
        </w:rPr>
      </w:pPr>
    </w:p>
    <w:p w14:paraId="32777BA2" w14:textId="77777777" w:rsidR="00A2193A" w:rsidRDefault="00A2193A" w:rsidP="00A2193A">
      <w:pPr>
        <w:spacing w:line="360" w:lineRule="auto"/>
        <w:jc w:val="center"/>
        <w:rPr>
          <w:color w:val="000000"/>
          <w:sz w:val="24"/>
          <w:szCs w:val="24"/>
          <w:shd w:val="clear" w:color="auto" w:fill="FFFFFF"/>
        </w:rPr>
      </w:pPr>
    </w:p>
    <w:p w14:paraId="15DD0126" w14:textId="77777777" w:rsidR="00A2193A" w:rsidRDefault="00A2193A" w:rsidP="00A2193A">
      <w:pPr>
        <w:spacing w:line="360" w:lineRule="auto"/>
        <w:jc w:val="center"/>
        <w:rPr>
          <w:color w:val="000000"/>
          <w:sz w:val="24"/>
          <w:szCs w:val="24"/>
          <w:shd w:val="clear" w:color="auto" w:fill="FFFFFF"/>
        </w:rPr>
      </w:pPr>
    </w:p>
    <w:p w14:paraId="3E046178" w14:textId="77777777" w:rsidR="00A2193A" w:rsidRDefault="00A2193A" w:rsidP="00A2193A">
      <w:pPr>
        <w:spacing w:line="360" w:lineRule="auto"/>
        <w:jc w:val="center"/>
        <w:rPr>
          <w:color w:val="000000"/>
          <w:sz w:val="24"/>
          <w:szCs w:val="24"/>
          <w:shd w:val="clear" w:color="auto" w:fill="FFFFFF"/>
        </w:rPr>
      </w:pPr>
    </w:p>
    <w:p w14:paraId="530214C2" w14:textId="77777777" w:rsidR="00A2193A" w:rsidRDefault="00A2193A" w:rsidP="00A2193A">
      <w:pPr>
        <w:spacing w:line="360" w:lineRule="auto"/>
        <w:jc w:val="center"/>
        <w:rPr>
          <w:color w:val="000000"/>
          <w:sz w:val="24"/>
          <w:szCs w:val="24"/>
          <w:shd w:val="clear" w:color="auto" w:fill="FFFFFF"/>
        </w:rPr>
      </w:pPr>
    </w:p>
    <w:p w14:paraId="53262C15" w14:textId="77777777" w:rsidR="00A2193A" w:rsidRDefault="00A2193A" w:rsidP="00A2193A">
      <w:pPr>
        <w:spacing w:line="360" w:lineRule="auto"/>
        <w:jc w:val="center"/>
        <w:rPr>
          <w:color w:val="000000"/>
          <w:sz w:val="24"/>
          <w:szCs w:val="24"/>
          <w:shd w:val="clear" w:color="auto" w:fill="FFFFFF"/>
        </w:rPr>
      </w:pPr>
    </w:p>
    <w:p w14:paraId="1A068A3C" w14:textId="77777777" w:rsidR="00A2193A" w:rsidRDefault="00A2193A" w:rsidP="00A2193A">
      <w:pPr>
        <w:spacing w:line="360" w:lineRule="auto"/>
        <w:jc w:val="center"/>
        <w:rPr>
          <w:color w:val="000000"/>
          <w:sz w:val="24"/>
          <w:szCs w:val="24"/>
          <w:shd w:val="clear" w:color="auto" w:fill="FFFFFF"/>
        </w:rPr>
      </w:pPr>
    </w:p>
    <w:p w14:paraId="66A70F0B" w14:textId="77777777" w:rsidR="00A2193A" w:rsidRDefault="00A2193A" w:rsidP="00A2193A">
      <w:pPr>
        <w:spacing w:line="360" w:lineRule="auto"/>
        <w:jc w:val="center"/>
        <w:rPr>
          <w:color w:val="000000"/>
          <w:sz w:val="24"/>
          <w:szCs w:val="24"/>
          <w:shd w:val="clear" w:color="auto" w:fill="FFFFFF"/>
        </w:rPr>
      </w:pPr>
    </w:p>
    <w:p w14:paraId="669D725B" w14:textId="0626EA9B" w:rsidR="000867E1" w:rsidRDefault="00A2193A" w:rsidP="00A2193A">
      <w:pPr>
        <w:spacing w:line="360" w:lineRule="auto"/>
        <w:jc w:val="center"/>
        <w:rPr>
          <w:b/>
          <w:bCs/>
          <w:sz w:val="48"/>
          <w:szCs w:val="48"/>
        </w:rPr>
      </w:pPr>
      <w:r>
        <w:rPr>
          <w:color w:val="000000"/>
          <w:sz w:val="24"/>
          <w:szCs w:val="24"/>
          <w:shd w:val="clear" w:color="auto" w:fill="FFFFFF"/>
        </w:rPr>
        <w:t>June 17, 2026</w:t>
      </w:r>
    </w:p>
    <w:p w14:paraId="259436E3" w14:textId="77777777" w:rsidR="000867E1" w:rsidRPr="00597B05" w:rsidRDefault="000867E1" w:rsidP="00597B05">
      <w:pPr>
        <w:pStyle w:val="ListParagraph"/>
        <w:numPr>
          <w:ilvl w:val="0"/>
          <w:numId w:val="3"/>
        </w:numPr>
        <w:spacing w:line="276" w:lineRule="auto"/>
        <w:jc w:val="both"/>
        <w:rPr>
          <w:b/>
          <w:bCs/>
          <w:sz w:val="26"/>
          <w:szCs w:val="26"/>
        </w:rPr>
      </w:pPr>
      <w:r>
        <w:rPr>
          <w:b/>
          <w:bCs/>
          <w:sz w:val="26"/>
          <w:szCs w:val="26"/>
        </w:rPr>
        <w:lastRenderedPageBreak/>
        <w:t xml:space="preserve">OVERVIEW &amp; RATIONALE </w:t>
      </w:r>
    </w:p>
    <w:p w14:paraId="6FAB0BD5" w14:textId="77777777" w:rsidR="00597B05" w:rsidRPr="00597B05" w:rsidRDefault="00597B05" w:rsidP="00597B05">
      <w:pPr>
        <w:pStyle w:val="ListParagraph"/>
        <w:spacing w:line="276" w:lineRule="auto"/>
        <w:ind w:left="360"/>
        <w:jc w:val="both"/>
        <w:rPr>
          <w:b/>
          <w:bCs/>
        </w:rPr>
      </w:pPr>
    </w:p>
    <w:p w14:paraId="74EA9DE3" w14:textId="235F0630" w:rsidR="000867E1" w:rsidRDefault="000867E1" w:rsidP="00597B05">
      <w:pPr>
        <w:spacing w:line="276" w:lineRule="auto"/>
        <w:jc w:val="both"/>
      </w:pPr>
      <w:r>
        <w:t>Building on the qualitative Risk Register completed in Assignment 3, this report applies quantitative analytics to the three highest-priority risks identified in Netflix's proposed EdTech launch (2026–2028). All three risks scored 81 (Critical) on the 9×9 qualitative matrix. Quantitative assessment was conducted using the Indicators &amp; Warning (I&amp;W) technique measuring observable leading indicators against calibrated warning thresholds combined with Monte Carlo simulation (10,000 iterations, Python/NumPy) to model the probability of occurrence and expected financial impact.</w:t>
      </w:r>
    </w:p>
    <w:p w14:paraId="378263CA" w14:textId="77777777" w:rsidR="00597B05" w:rsidRPr="00597B05" w:rsidRDefault="00597B05" w:rsidP="00597B05">
      <w:pPr>
        <w:spacing w:line="276" w:lineRule="auto"/>
        <w:jc w:val="both"/>
      </w:pPr>
    </w:p>
    <w:p w14:paraId="67B7FB15" w14:textId="21E81038" w:rsidR="000867E1" w:rsidRDefault="000867E1" w:rsidP="00597B05">
      <w:pPr>
        <w:spacing w:line="276" w:lineRule="auto"/>
        <w:jc w:val="both"/>
      </w:pPr>
      <w:r>
        <w:t>The I&amp;W technique was selected because it operationalizes quantitative monitoring: each risk is assigned specific, measurable indicators with Green/Amber/Red thresholds, enabling Netflix’s risk management team to detect early warning signals and trigger mitigations before losses materialize. Monte Carlo simulation complements I&amp;W by quantifying the range and distribution of potential financial impact under uncertainty, moving beyond point estimates.</w:t>
      </w:r>
    </w:p>
    <w:p w14:paraId="150163B1" w14:textId="77777777" w:rsidR="00597B05" w:rsidRDefault="00597B05" w:rsidP="00597B05">
      <w:pPr>
        <w:spacing w:line="276" w:lineRule="auto"/>
        <w:jc w:val="both"/>
      </w:pPr>
    </w:p>
    <w:p w14:paraId="3035A41E" w14:textId="77777777" w:rsidR="00597B05" w:rsidRPr="00597B05" w:rsidRDefault="00597B05" w:rsidP="00597B05">
      <w:pPr>
        <w:spacing w:line="276" w:lineRule="auto"/>
        <w:jc w:val="both"/>
      </w:pPr>
    </w:p>
    <w:p w14:paraId="5EC2EE56" w14:textId="116B49FE" w:rsidR="000867E1" w:rsidRPr="00597B05" w:rsidRDefault="000867E1" w:rsidP="00597B05">
      <w:pPr>
        <w:pStyle w:val="ListParagraph"/>
        <w:numPr>
          <w:ilvl w:val="0"/>
          <w:numId w:val="3"/>
        </w:numPr>
        <w:spacing w:line="276" w:lineRule="auto"/>
        <w:jc w:val="both"/>
        <w:rPr>
          <w:b/>
          <w:bCs/>
          <w:sz w:val="26"/>
          <w:szCs w:val="26"/>
        </w:rPr>
      </w:pPr>
      <w:r>
        <w:rPr>
          <w:b/>
          <w:bCs/>
          <w:sz w:val="26"/>
          <w:szCs w:val="26"/>
        </w:rPr>
        <w:t>RISK SELECTION: THE THREE CRITICAL RISKS</w:t>
      </w:r>
    </w:p>
    <w:p w14:paraId="4F5C9283" w14:textId="77777777" w:rsidR="00597B05" w:rsidRPr="00597B05" w:rsidRDefault="00597B05" w:rsidP="00597B05">
      <w:pPr>
        <w:pStyle w:val="ListParagraph"/>
        <w:spacing w:line="276" w:lineRule="auto"/>
        <w:ind w:left="360"/>
        <w:jc w:val="both"/>
        <w:rPr>
          <w:b/>
          <w:bCs/>
        </w:rPr>
      </w:pPr>
    </w:p>
    <w:p w14:paraId="5C023F3B" w14:textId="070B24A0" w:rsidR="001E4D6E" w:rsidRDefault="001E4D6E" w:rsidP="00597B05">
      <w:pPr>
        <w:spacing w:line="276" w:lineRule="auto"/>
        <w:jc w:val="both"/>
        <w:rPr>
          <w:b/>
          <w:bCs/>
          <w:sz w:val="24"/>
          <w:szCs w:val="24"/>
        </w:rPr>
      </w:pPr>
      <w:r>
        <w:rPr>
          <w:b/>
          <w:bCs/>
          <w:sz w:val="24"/>
          <w:szCs w:val="24"/>
        </w:rPr>
        <w:t>Table 1</w:t>
      </w:r>
    </w:p>
    <w:p w14:paraId="3BC37728" w14:textId="77777777" w:rsidR="00597B05" w:rsidRPr="00597B05" w:rsidRDefault="00597B05" w:rsidP="00597B05">
      <w:pPr>
        <w:spacing w:line="276" w:lineRule="auto"/>
        <w:jc w:val="both"/>
        <w:rPr>
          <w:b/>
          <w:bCs/>
          <w:sz w:val="24"/>
          <w:szCs w:val="24"/>
        </w:rPr>
      </w:pPr>
    </w:p>
    <w:tbl>
      <w:tblPr>
        <w:tblStyle w:val="TableGrid"/>
        <w:tblW w:w="11057" w:type="dxa"/>
        <w:jc w:val="center"/>
        <w:tblLook w:val="04A0" w:firstRow="1" w:lastRow="0" w:firstColumn="1" w:lastColumn="0" w:noHBand="0" w:noVBand="1"/>
      </w:tblPr>
      <w:tblGrid>
        <w:gridCol w:w="988"/>
        <w:gridCol w:w="2997"/>
        <w:gridCol w:w="1565"/>
        <w:gridCol w:w="1466"/>
        <w:gridCol w:w="1534"/>
        <w:gridCol w:w="2507"/>
      </w:tblGrid>
      <w:tr w:rsidR="001E4D6E" w:rsidRPr="00597B05" w14:paraId="17D3C37D" w14:textId="05FFE2F9" w:rsidTr="00597B05">
        <w:trPr>
          <w:jc w:val="center"/>
        </w:trPr>
        <w:tc>
          <w:tcPr>
            <w:tcW w:w="988" w:type="dxa"/>
            <w:vAlign w:val="center"/>
          </w:tcPr>
          <w:p w14:paraId="03F154C1" w14:textId="404E8115" w:rsidR="001E4D6E" w:rsidRPr="00597B05" w:rsidRDefault="00597B05" w:rsidP="00597B05">
            <w:pPr>
              <w:spacing w:line="276" w:lineRule="auto"/>
              <w:jc w:val="center"/>
              <w:rPr>
                <w:b/>
                <w:bCs/>
              </w:rPr>
            </w:pPr>
            <w:r>
              <w:rPr>
                <w:b/>
                <w:bCs/>
              </w:rPr>
              <w:t>ID</w:t>
            </w:r>
          </w:p>
        </w:tc>
        <w:tc>
          <w:tcPr>
            <w:tcW w:w="2997" w:type="dxa"/>
            <w:vAlign w:val="center"/>
          </w:tcPr>
          <w:p w14:paraId="5C4D17D3" w14:textId="65E0C5A8" w:rsidR="001E4D6E" w:rsidRPr="00597B05" w:rsidRDefault="001E4D6E" w:rsidP="00597B05">
            <w:pPr>
              <w:spacing w:line="276" w:lineRule="auto"/>
              <w:jc w:val="center"/>
            </w:pPr>
            <w:r>
              <w:rPr>
                <w:b/>
                <w:bCs/>
              </w:rPr>
              <w:t>RISK NAME</w:t>
            </w:r>
          </w:p>
        </w:tc>
        <w:tc>
          <w:tcPr>
            <w:tcW w:w="1565" w:type="dxa"/>
            <w:vAlign w:val="center"/>
          </w:tcPr>
          <w:p w14:paraId="1497DDD6" w14:textId="0AF5A7D6" w:rsidR="001E4D6E" w:rsidRPr="00597B05" w:rsidRDefault="001E4D6E" w:rsidP="00597B05">
            <w:pPr>
              <w:spacing w:line="276" w:lineRule="auto"/>
              <w:jc w:val="center"/>
            </w:pPr>
            <w:r>
              <w:rPr>
                <w:b/>
                <w:bCs/>
              </w:rPr>
              <w:t>CATEGORY</w:t>
            </w:r>
          </w:p>
        </w:tc>
        <w:tc>
          <w:tcPr>
            <w:tcW w:w="1466" w:type="dxa"/>
            <w:vAlign w:val="center"/>
          </w:tcPr>
          <w:p w14:paraId="2126089A" w14:textId="312655FB" w:rsidR="001E4D6E" w:rsidRPr="00597B05" w:rsidRDefault="001E4D6E" w:rsidP="00597B05">
            <w:pPr>
              <w:spacing w:line="276" w:lineRule="auto"/>
              <w:jc w:val="center"/>
            </w:pPr>
            <w:r>
              <w:rPr>
                <w:b/>
                <w:bCs/>
              </w:rPr>
              <w:t>QUAL. SCORE</w:t>
            </w:r>
          </w:p>
        </w:tc>
        <w:tc>
          <w:tcPr>
            <w:tcW w:w="1534" w:type="dxa"/>
            <w:vAlign w:val="center"/>
          </w:tcPr>
          <w:p w14:paraId="4B24B5B7" w14:textId="46FE05D6" w:rsidR="001E4D6E" w:rsidRPr="00597B05" w:rsidRDefault="001E4D6E" w:rsidP="00597B05">
            <w:pPr>
              <w:spacing w:line="276" w:lineRule="auto"/>
              <w:jc w:val="center"/>
            </w:pPr>
            <w:r>
              <w:rPr>
                <w:b/>
                <w:bCs/>
              </w:rPr>
              <w:t>QUANT. P(OCCUR.)</w:t>
            </w:r>
          </w:p>
        </w:tc>
        <w:tc>
          <w:tcPr>
            <w:tcW w:w="2507" w:type="dxa"/>
            <w:vAlign w:val="center"/>
          </w:tcPr>
          <w:p w14:paraId="5A5C090B" w14:textId="28E96140" w:rsidR="001E4D6E" w:rsidRPr="00597B05" w:rsidRDefault="001E4D6E" w:rsidP="00597B05">
            <w:pPr>
              <w:spacing w:line="276" w:lineRule="auto"/>
              <w:jc w:val="center"/>
            </w:pPr>
            <w:r>
              <w:rPr>
                <w:b/>
                <w:bCs/>
              </w:rPr>
              <w:t>MONTE CARLO E[LOSS]</w:t>
            </w:r>
          </w:p>
        </w:tc>
      </w:tr>
      <w:tr w:rsidR="001E4D6E" w:rsidRPr="00597B05" w14:paraId="11F3346C" w14:textId="77777777" w:rsidTr="00597B05">
        <w:trPr>
          <w:jc w:val="center"/>
        </w:trPr>
        <w:tc>
          <w:tcPr>
            <w:tcW w:w="988" w:type="dxa"/>
          </w:tcPr>
          <w:p w14:paraId="31FF59BE" w14:textId="2FC39AC5" w:rsidR="001E4D6E" w:rsidRPr="00597B05" w:rsidRDefault="001E4D6E" w:rsidP="00597B05">
            <w:pPr>
              <w:spacing w:line="276" w:lineRule="auto"/>
              <w:jc w:val="both"/>
            </w:pPr>
            <w:r>
              <w:rPr>
                <w:color w:val="404040"/>
              </w:rPr>
              <w:t>R6</w:t>
            </w:r>
          </w:p>
        </w:tc>
        <w:tc>
          <w:tcPr>
            <w:tcW w:w="2997" w:type="dxa"/>
          </w:tcPr>
          <w:p w14:paraId="2C22A4DE" w14:textId="7E1538FA" w:rsidR="001E4D6E" w:rsidRPr="00597B05" w:rsidRDefault="001E4D6E" w:rsidP="00597B05">
            <w:pPr>
              <w:spacing w:line="276" w:lineRule="auto"/>
              <w:jc w:val="both"/>
            </w:pPr>
            <w:r>
              <w:rPr>
                <w:color w:val="404040"/>
              </w:rPr>
              <w:t>Initial Capital Investment Exceeding Projections</w:t>
            </w:r>
          </w:p>
        </w:tc>
        <w:tc>
          <w:tcPr>
            <w:tcW w:w="1565" w:type="dxa"/>
          </w:tcPr>
          <w:p w14:paraId="481BA021" w14:textId="0F37BE9E" w:rsidR="001E4D6E" w:rsidRPr="00597B05" w:rsidRDefault="001E4D6E" w:rsidP="00597B05">
            <w:pPr>
              <w:spacing w:line="276" w:lineRule="auto"/>
              <w:jc w:val="both"/>
            </w:pPr>
            <w:r>
              <w:rPr>
                <w:color w:val="404040"/>
              </w:rPr>
              <w:t>Financial</w:t>
            </w:r>
          </w:p>
        </w:tc>
        <w:tc>
          <w:tcPr>
            <w:tcW w:w="1466" w:type="dxa"/>
          </w:tcPr>
          <w:p w14:paraId="66DAF6C4" w14:textId="6898672C" w:rsidR="001E4D6E" w:rsidRPr="00597B05" w:rsidRDefault="001E4D6E" w:rsidP="00597B05">
            <w:pPr>
              <w:spacing w:line="276" w:lineRule="auto"/>
              <w:jc w:val="both"/>
            </w:pPr>
            <w:r>
              <w:rPr>
                <w:color w:val="404040"/>
              </w:rPr>
              <w:t>81 — Critical</w:t>
            </w:r>
          </w:p>
        </w:tc>
        <w:tc>
          <w:tcPr>
            <w:tcW w:w="1534" w:type="dxa"/>
          </w:tcPr>
          <w:p w14:paraId="7939A2CD" w14:textId="39BAF088" w:rsidR="001E4D6E" w:rsidRPr="00597B05" w:rsidRDefault="001E4D6E" w:rsidP="00597B05">
            <w:pPr>
              <w:spacing w:line="276" w:lineRule="auto"/>
              <w:jc w:val="both"/>
            </w:pPr>
            <w:r>
              <w:rPr>
                <w:color w:val="404040"/>
              </w:rPr>
              <w:t>87%</w:t>
            </w:r>
          </w:p>
        </w:tc>
        <w:tc>
          <w:tcPr>
            <w:tcW w:w="2507" w:type="dxa"/>
          </w:tcPr>
          <w:p w14:paraId="33279E5D" w14:textId="53AA5A50" w:rsidR="001E4D6E" w:rsidRPr="00597B05" w:rsidRDefault="001E4D6E" w:rsidP="00597B05">
            <w:pPr>
              <w:spacing w:line="276" w:lineRule="auto"/>
              <w:jc w:val="both"/>
            </w:pPr>
            <w:r>
              <w:rPr>
                <w:color w:val="404040"/>
              </w:rPr>
              <w:t>$112.5M (P90: $168M)</w:t>
            </w:r>
          </w:p>
        </w:tc>
      </w:tr>
      <w:tr w:rsidR="001E4D6E" w:rsidRPr="00597B05" w14:paraId="1280B09D" w14:textId="77777777" w:rsidTr="00597B05">
        <w:trPr>
          <w:jc w:val="center"/>
        </w:trPr>
        <w:tc>
          <w:tcPr>
            <w:tcW w:w="988" w:type="dxa"/>
          </w:tcPr>
          <w:p w14:paraId="3A2ED685" w14:textId="0947CB83" w:rsidR="001E4D6E" w:rsidRPr="00597B05" w:rsidRDefault="001E4D6E" w:rsidP="00597B05">
            <w:pPr>
              <w:spacing w:line="276" w:lineRule="auto"/>
              <w:jc w:val="both"/>
            </w:pPr>
            <w:r>
              <w:rPr>
                <w:color w:val="404040"/>
              </w:rPr>
              <w:t>R16</w:t>
            </w:r>
          </w:p>
        </w:tc>
        <w:tc>
          <w:tcPr>
            <w:tcW w:w="2997" w:type="dxa"/>
          </w:tcPr>
          <w:p w14:paraId="31E88A81" w14:textId="22571232" w:rsidR="001E4D6E" w:rsidRPr="00597B05" w:rsidRDefault="001E4D6E" w:rsidP="00597B05">
            <w:pPr>
              <w:spacing w:line="276" w:lineRule="auto"/>
              <w:jc w:val="both"/>
            </w:pPr>
            <w:r>
              <w:rPr>
                <w:color w:val="404040"/>
              </w:rPr>
              <w:t>Coursera-Udemy Merger Competitive Displacement</w:t>
            </w:r>
          </w:p>
        </w:tc>
        <w:tc>
          <w:tcPr>
            <w:tcW w:w="1565" w:type="dxa"/>
          </w:tcPr>
          <w:p w14:paraId="411636B4" w14:textId="0161C516" w:rsidR="001E4D6E" w:rsidRPr="00597B05" w:rsidRDefault="001E4D6E" w:rsidP="00597B05">
            <w:pPr>
              <w:spacing w:line="276" w:lineRule="auto"/>
              <w:jc w:val="both"/>
            </w:pPr>
            <w:r>
              <w:rPr>
                <w:color w:val="404040"/>
              </w:rPr>
              <w:t>Competitive</w:t>
            </w:r>
          </w:p>
        </w:tc>
        <w:tc>
          <w:tcPr>
            <w:tcW w:w="1466" w:type="dxa"/>
          </w:tcPr>
          <w:p w14:paraId="0C3D67F1" w14:textId="1ED283F5" w:rsidR="001E4D6E" w:rsidRPr="00597B05" w:rsidRDefault="001E4D6E" w:rsidP="00597B05">
            <w:pPr>
              <w:spacing w:line="276" w:lineRule="auto"/>
              <w:jc w:val="both"/>
            </w:pPr>
            <w:r>
              <w:rPr>
                <w:color w:val="404040"/>
              </w:rPr>
              <w:t>81 - Critical</w:t>
            </w:r>
          </w:p>
        </w:tc>
        <w:tc>
          <w:tcPr>
            <w:tcW w:w="1534" w:type="dxa"/>
          </w:tcPr>
          <w:p w14:paraId="2AC94625" w14:textId="0D1D12DE" w:rsidR="001E4D6E" w:rsidRPr="00597B05" w:rsidRDefault="001E4D6E" w:rsidP="00597B05">
            <w:pPr>
              <w:spacing w:line="276" w:lineRule="auto"/>
              <w:jc w:val="both"/>
            </w:pPr>
            <w:r>
              <w:rPr>
                <w:color w:val="404040"/>
              </w:rPr>
              <w:t>91%</w:t>
            </w:r>
          </w:p>
        </w:tc>
        <w:tc>
          <w:tcPr>
            <w:tcW w:w="2507" w:type="dxa"/>
          </w:tcPr>
          <w:p w14:paraId="0694B8C2" w14:textId="2F698ADB" w:rsidR="001E4D6E" w:rsidRPr="00597B05" w:rsidRDefault="001E4D6E" w:rsidP="00597B05">
            <w:pPr>
              <w:spacing w:line="276" w:lineRule="auto"/>
              <w:jc w:val="both"/>
            </w:pPr>
            <w:r>
              <w:rPr>
                <w:color w:val="404040"/>
              </w:rPr>
              <w:t>$187.0M (P90: $265M)</w:t>
            </w:r>
          </w:p>
        </w:tc>
      </w:tr>
      <w:tr w:rsidR="001E4D6E" w:rsidRPr="00597B05" w14:paraId="2CBC4F04" w14:textId="77777777" w:rsidTr="00597B05">
        <w:trPr>
          <w:jc w:val="center"/>
        </w:trPr>
        <w:tc>
          <w:tcPr>
            <w:tcW w:w="988" w:type="dxa"/>
          </w:tcPr>
          <w:p w14:paraId="6E042B1C" w14:textId="3A32781A" w:rsidR="001E4D6E" w:rsidRPr="00597B05" w:rsidRDefault="001E4D6E" w:rsidP="00597B05">
            <w:pPr>
              <w:spacing w:line="276" w:lineRule="auto"/>
              <w:jc w:val="both"/>
            </w:pPr>
            <w:r>
              <w:rPr>
                <w:color w:val="404040"/>
              </w:rPr>
              <w:t>R28</w:t>
            </w:r>
          </w:p>
        </w:tc>
        <w:tc>
          <w:tcPr>
            <w:tcW w:w="2997" w:type="dxa"/>
          </w:tcPr>
          <w:p w14:paraId="30F6B43A" w14:textId="2F245948" w:rsidR="001E4D6E" w:rsidRPr="00597B05" w:rsidRDefault="001E4D6E" w:rsidP="00597B05">
            <w:pPr>
              <w:spacing w:line="276" w:lineRule="auto"/>
              <w:jc w:val="both"/>
            </w:pPr>
            <w:r>
              <w:rPr>
                <w:color w:val="404040"/>
              </w:rPr>
              <w:t>LimitedEducational AI Training  Data for Models</w:t>
            </w:r>
          </w:p>
        </w:tc>
        <w:tc>
          <w:tcPr>
            <w:tcW w:w="1565" w:type="dxa"/>
          </w:tcPr>
          <w:p w14:paraId="036CF402" w14:textId="694956FB" w:rsidR="001E4D6E" w:rsidRPr="00597B05" w:rsidRDefault="001E4D6E" w:rsidP="00597B05">
            <w:pPr>
              <w:spacing w:line="276" w:lineRule="auto"/>
              <w:jc w:val="both"/>
            </w:pPr>
            <w:r>
              <w:rPr>
                <w:color w:val="404040"/>
              </w:rPr>
              <w:t>Technical</w:t>
            </w:r>
          </w:p>
        </w:tc>
        <w:tc>
          <w:tcPr>
            <w:tcW w:w="1466" w:type="dxa"/>
          </w:tcPr>
          <w:p w14:paraId="05D9A987" w14:textId="3D9AD4F1" w:rsidR="001E4D6E" w:rsidRPr="00597B05" w:rsidRDefault="001E4D6E" w:rsidP="00597B05">
            <w:pPr>
              <w:spacing w:line="276" w:lineRule="auto"/>
              <w:jc w:val="both"/>
            </w:pPr>
            <w:r>
              <w:rPr>
                <w:color w:val="404040"/>
              </w:rPr>
              <w:t>81 - Critical</w:t>
            </w:r>
          </w:p>
        </w:tc>
        <w:tc>
          <w:tcPr>
            <w:tcW w:w="1534" w:type="dxa"/>
          </w:tcPr>
          <w:p w14:paraId="0A494762" w14:textId="77E801C1" w:rsidR="001E4D6E" w:rsidRPr="00597B05" w:rsidRDefault="001E4D6E" w:rsidP="00597B05">
            <w:pPr>
              <w:spacing w:line="276" w:lineRule="auto"/>
              <w:jc w:val="both"/>
            </w:pPr>
            <w:r>
              <w:rPr>
                <w:color w:val="404040"/>
              </w:rPr>
              <w:t>83%</w:t>
            </w:r>
          </w:p>
        </w:tc>
        <w:tc>
          <w:tcPr>
            <w:tcW w:w="2507" w:type="dxa"/>
          </w:tcPr>
          <w:p w14:paraId="38443BF1" w14:textId="1A985203" w:rsidR="001E4D6E" w:rsidRPr="00597B05" w:rsidRDefault="001E4D6E" w:rsidP="00597B05">
            <w:pPr>
              <w:spacing w:line="276" w:lineRule="auto"/>
              <w:jc w:val="both"/>
            </w:pPr>
            <w:r>
              <w:rPr>
                <w:color w:val="404040"/>
              </w:rPr>
              <w:t>$95.0M (P90: $142.5M)</w:t>
            </w:r>
          </w:p>
        </w:tc>
      </w:tr>
    </w:tbl>
    <w:p w14:paraId="5188CD83" w14:textId="55E2C7D2" w:rsidR="001E4D6E" w:rsidRDefault="001E4D6E" w:rsidP="00597B05">
      <w:pPr>
        <w:spacing w:line="276" w:lineRule="auto"/>
        <w:jc w:val="both"/>
        <w:rPr>
          <w:b/>
          <w:bCs/>
        </w:rPr>
      </w:pPr>
    </w:p>
    <w:p w14:paraId="3C7A2337" w14:textId="77777777" w:rsidR="00597B05" w:rsidRPr="00597B05" w:rsidRDefault="00597B05" w:rsidP="00597B05">
      <w:pPr>
        <w:spacing w:line="276" w:lineRule="auto"/>
        <w:jc w:val="both"/>
        <w:rPr>
          <w:b/>
          <w:bCs/>
        </w:rPr>
      </w:pPr>
    </w:p>
    <w:p w14:paraId="781896FB" w14:textId="43FC37A3" w:rsidR="001E4D6E" w:rsidRPr="00597B05" w:rsidRDefault="001E4D6E" w:rsidP="00597B05">
      <w:pPr>
        <w:pStyle w:val="ListParagraph"/>
        <w:numPr>
          <w:ilvl w:val="0"/>
          <w:numId w:val="3"/>
        </w:numPr>
        <w:spacing w:line="276" w:lineRule="auto"/>
        <w:jc w:val="both"/>
        <w:rPr>
          <w:b/>
          <w:bCs/>
          <w:sz w:val="26"/>
          <w:szCs w:val="26"/>
        </w:rPr>
      </w:pPr>
      <w:r>
        <w:rPr>
          <w:b/>
          <w:bCs/>
          <w:sz w:val="26"/>
          <w:szCs w:val="26"/>
        </w:rPr>
        <w:t>I&amp;W ANALYSIS STEPS &amp; METHOD</w:t>
      </w:r>
    </w:p>
    <w:p w14:paraId="545E899A" w14:textId="77777777" w:rsidR="00597B05" w:rsidRPr="00597B05" w:rsidRDefault="00597B05" w:rsidP="00597B05">
      <w:pPr>
        <w:spacing w:line="276" w:lineRule="auto"/>
        <w:jc w:val="both"/>
        <w:rPr>
          <w:b/>
          <w:bCs/>
        </w:rPr>
      </w:pPr>
    </w:p>
    <w:p w14:paraId="1CF71995" w14:textId="77777777" w:rsidR="00E11B49" w:rsidRDefault="00E11B49" w:rsidP="00597B05">
      <w:pPr>
        <w:spacing w:line="276" w:lineRule="auto"/>
        <w:jc w:val="both"/>
      </w:pPr>
      <w:r>
        <w:t>For each risk, the following four-step I&amp;W process was applied:</w:t>
      </w:r>
    </w:p>
    <w:p w14:paraId="0521A723" w14:textId="77777777" w:rsidR="004771BC" w:rsidRPr="00597B05" w:rsidRDefault="004771BC" w:rsidP="00597B05">
      <w:pPr>
        <w:spacing w:line="276" w:lineRule="auto"/>
        <w:jc w:val="both"/>
      </w:pPr>
    </w:p>
    <w:p w14:paraId="4E9D2778" w14:textId="77777777" w:rsidR="00E11B49" w:rsidRDefault="00E11B49" w:rsidP="00597B05">
      <w:pPr>
        <w:pStyle w:val="ListParagraph"/>
        <w:numPr>
          <w:ilvl w:val="0"/>
          <w:numId w:val="2"/>
        </w:numPr>
        <w:spacing w:line="276" w:lineRule="auto"/>
        <w:contextualSpacing w:val="0"/>
        <w:jc w:val="both"/>
      </w:pPr>
      <w:r>
        <w:rPr>
          <w:b/>
          <w:bCs/>
        </w:rPr>
        <w:t>Step 1 - Identify Leading Indicators:</w:t>
      </w:r>
      <w:r>
        <w:t xml:space="preserve"> Observable, measurable signals that precede or predict risk materialization (e.g., monthly capital expenditure variance; AI recommendation accuracy; education subscriber growth rate MoM).</w:t>
      </w:r>
    </w:p>
    <w:p w14:paraId="142AC7BE" w14:textId="77777777" w:rsidR="004771BC" w:rsidRPr="00597B05" w:rsidRDefault="004771BC" w:rsidP="004771BC">
      <w:pPr>
        <w:pStyle w:val="ListParagraph"/>
        <w:spacing w:line="276" w:lineRule="auto"/>
        <w:ind w:left="540"/>
        <w:contextualSpacing w:val="0"/>
        <w:jc w:val="both"/>
      </w:pPr>
    </w:p>
    <w:p w14:paraId="7E00053A" w14:textId="77777777" w:rsidR="00E11B49" w:rsidRDefault="00E11B49" w:rsidP="00597B05">
      <w:pPr>
        <w:pStyle w:val="ListParagraph"/>
        <w:numPr>
          <w:ilvl w:val="0"/>
          <w:numId w:val="2"/>
        </w:numPr>
        <w:spacing w:line="276" w:lineRule="auto"/>
        <w:contextualSpacing w:val="0"/>
        <w:jc w:val="both"/>
      </w:pPr>
      <w:r>
        <w:rPr>
          <w:b/>
          <w:bCs/>
        </w:rPr>
        <w:t>Step 2 -</w:t>
      </w:r>
      <w:r>
        <w:t xml:space="preserve"> </w:t>
      </w:r>
      <w:r>
        <w:rPr>
          <w:b/>
          <w:bCs/>
        </w:rPr>
        <w:t>Define Warning Thresholds:</w:t>
      </w:r>
      <w:r>
        <w:t xml:space="preserve"> Green/Amber/Red calibration using industry benchmarks (Gartner, HolonIQ, EdTech analyst data) and Netflix’s own operational data (Netflix Q1 2026, Netflix Annual Report 2025).</w:t>
      </w:r>
    </w:p>
    <w:p w14:paraId="7A3B56F5" w14:textId="77777777" w:rsidR="004771BC" w:rsidRDefault="004771BC" w:rsidP="004771BC">
      <w:pPr>
        <w:pStyle w:val="ListParagraph"/>
      </w:pPr>
    </w:p>
    <w:p w14:paraId="61D56BB8" w14:textId="61F27C67" w:rsidR="00E11B49" w:rsidRDefault="00E11B49" w:rsidP="00597B05">
      <w:pPr>
        <w:pStyle w:val="ListParagraph"/>
        <w:numPr>
          <w:ilvl w:val="0"/>
          <w:numId w:val="2"/>
        </w:numPr>
        <w:spacing w:line="276" w:lineRule="auto"/>
        <w:contextualSpacing w:val="0"/>
        <w:jc w:val="both"/>
      </w:pPr>
      <w:r>
        <w:rPr>
          <w:b/>
          <w:bCs/>
        </w:rPr>
        <w:lastRenderedPageBreak/>
        <w:t>Step 3 - Monte Carlo Simulation:</w:t>
      </w:r>
      <w:r>
        <w:t xml:space="preserve"> Each risk modeled using 10,000 iterations with appropriate statistical distributions (PERT/Beta for R6 cost overrun; Normal + fat-tail for R16 competitive displacement; Log-normal for R28 AI data gap). Output: mean expected loss, standard deviation, P(90), and P(95)/VaR.</w:t>
      </w:r>
    </w:p>
    <w:p w14:paraId="36FAAA3E" w14:textId="77777777" w:rsidR="004771BC" w:rsidRPr="00597B05" w:rsidRDefault="004771BC" w:rsidP="004771BC">
      <w:pPr>
        <w:pStyle w:val="ListParagraph"/>
        <w:spacing w:line="276" w:lineRule="auto"/>
        <w:ind w:left="540"/>
        <w:contextualSpacing w:val="0"/>
        <w:jc w:val="both"/>
      </w:pPr>
    </w:p>
    <w:p w14:paraId="5392502D" w14:textId="35B470EC" w:rsidR="00E11B49" w:rsidRDefault="00E11B49" w:rsidP="00597B05">
      <w:pPr>
        <w:pStyle w:val="ListParagraph"/>
        <w:numPr>
          <w:ilvl w:val="0"/>
          <w:numId w:val="2"/>
        </w:numPr>
        <w:spacing w:line="276" w:lineRule="auto"/>
        <w:contextualSpacing w:val="0"/>
        <w:jc w:val="both"/>
      </w:pPr>
      <w:r>
        <w:rPr>
          <w:b/>
          <w:bCs/>
        </w:rPr>
        <w:t>Step 4 - Quantitative Risk Score &amp; RT - RP Update:</w:t>
      </w:r>
      <w:r>
        <w:t xml:space="preserve"> Quantitative Risk Score = P(Occurrence) × Expected Loss, normalized. The Risk Register (RT) and Risk Profile (RP) were updated with quantitative probability, expected loss, and I&amp;W status columns.</w:t>
      </w:r>
    </w:p>
    <w:p w14:paraId="1CA622A9" w14:textId="77777777" w:rsidR="004771BC" w:rsidRPr="00597B05" w:rsidRDefault="004771BC" w:rsidP="004771BC">
      <w:pPr>
        <w:pStyle w:val="ListParagraph"/>
        <w:spacing w:line="276" w:lineRule="auto"/>
        <w:ind w:left="540"/>
        <w:contextualSpacing w:val="0"/>
        <w:jc w:val="both"/>
      </w:pPr>
    </w:p>
    <w:p w14:paraId="665CD8BC" w14:textId="685F7704" w:rsidR="00E11B49" w:rsidRPr="00597B05" w:rsidRDefault="00E11B49" w:rsidP="00597B05">
      <w:pPr>
        <w:spacing w:line="276" w:lineRule="auto"/>
        <w:ind w:left="270"/>
        <w:jc w:val="both"/>
      </w:pPr>
    </w:p>
    <w:p w14:paraId="3165CAB1" w14:textId="44B6CE49" w:rsidR="00E11B49" w:rsidRPr="004771BC" w:rsidRDefault="00E11B49" w:rsidP="00597B05">
      <w:pPr>
        <w:pStyle w:val="ListParagraph"/>
        <w:numPr>
          <w:ilvl w:val="0"/>
          <w:numId w:val="3"/>
        </w:numPr>
        <w:spacing w:line="276" w:lineRule="auto"/>
        <w:jc w:val="both"/>
        <w:rPr>
          <w:b/>
          <w:bCs/>
          <w:sz w:val="26"/>
          <w:szCs w:val="26"/>
        </w:rPr>
      </w:pPr>
      <w:r>
        <w:rPr>
          <w:b/>
          <w:bCs/>
          <w:sz w:val="26"/>
          <w:szCs w:val="26"/>
        </w:rPr>
        <w:t>SUMMARY OF FINDINGS BY RISK</w:t>
      </w:r>
    </w:p>
    <w:p w14:paraId="085636E9" w14:textId="77777777" w:rsidR="004771BC" w:rsidRPr="00597B05" w:rsidRDefault="004771BC" w:rsidP="004771BC">
      <w:pPr>
        <w:pStyle w:val="ListParagraph"/>
        <w:spacing w:line="276" w:lineRule="auto"/>
        <w:ind w:left="360"/>
        <w:jc w:val="both"/>
        <w:rPr>
          <w:b/>
          <w:bCs/>
        </w:rPr>
      </w:pPr>
    </w:p>
    <w:p w14:paraId="0293D322" w14:textId="77777777" w:rsidR="00E11B49" w:rsidRPr="00695FAA" w:rsidRDefault="00E11B49" w:rsidP="00597B05">
      <w:pPr>
        <w:spacing w:line="276" w:lineRule="auto"/>
        <w:jc w:val="both"/>
        <w:rPr>
          <w:b/>
          <w:bCs/>
          <w:sz w:val="24"/>
          <w:szCs w:val="24"/>
        </w:rPr>
      </w:pPr>
      <w:r>
        <w:rPr>
          <w:b/>
          <w:bCs/>
          <w:sz w:val="24"/>
          <w:szCs w:val="24"/>
        </w:rPr>
        <w:t>R6 - Initial Capital Investment (Financial)</w:t>
      </w:r>
    </w:p>
    <w:p w14:paraId="05D98009" w14:textId="77777777" w:rsidR="004771BC" w:rsidRPr="00597B05" w:rsidRDefault="004771BC" w:rsidP="00597B05">
      <w:pPr>
        <w:spacing w:line="276" w:lineRule="auto"/>
        <w:jc w:val="both"/>
      </w:pPr>
    </w:p>
    <w:p w14:paraId="0364A6B0" w14:textId="77777777" w:rsidR="00695FAA" w:rsidRDefault="00E11B49" w:rsidP="00597B05">
      <w:pPr>
        <w:spacing w:line="276" w:lineRule="auto"/>
        <w:jc w:val="both"/>
        <w:rPr>
          <w:color w:val="404040"/>
        </w:rPr>
      </w:pPr>
      <w:r>
        <w:rPr>
          <w:b/>
          <w:bCs/>
          <w:color w:val="404040"/>
        </w:rPr>
        <w:t>Distribution:</w:t>
      </w:r>
      <w:r>
        <w:rPr>
          <w:color w:val="404040"/>
        </w:rPr>
        <w:t xml:space="preserve"> PERT/Beta (Low: $50M, Base: $125M, High: $250M). </w:t>
      </w:r>
    </w:p>
    <w:p w14:paraId="4E1A10B3" w14:textId="77777777" w:rsidR="00695FAA" w:rsidRDefault="00E11B49" w:rsidP="00597B05">
      <w:pPr>
        <w:spacing w:line="276" w:lineRule="auto"/>
        <w:jc w:val="both"/>
        <w:rPr>
          <w:color w:val="404040"/>
        </w:rPr>
      </w:pPr>
      <w:r>
        <w:rPr>
          <w:b/>
          <w:bCs/>
          <w:color w:val="404040"/>
        </w:rPr>
        <w:t>Mean Expected Loss:</w:t>
      </w:r>
      <w:r>
        <w:rPr>
          <w:color w:val="404040"/>
        </w:rPr>
        <w:t xml:space="preserve"> $112.5M. </w:t>
      </w:r>
    </w:p>
    <w:p w14:paraId="5B384FE6" w14:textId="77777777" w:rsidR="00695FAA" w:rsidRDefault="00E11B49" w:rsidP="00597B05">
      <w:pPr>
        <w:spacing w:line="276" w:lineRule="auto"/>
        <w:jc w:val="both"/>
        <w:rPr>
          <w:color w:val="404040"/>
        </w:rPr>
      </w:pPr>
      <w:r>
        <w:rPr>
          <w:b/>
          <w:bCs/>
          <w:color w:val="404040"/>
        </w:rPr>
        <w:t>P(Occurrence):</w:t>
      </w:r>
      <w:r>
        <w:rPr>
          <w:color w:val="404040"/>
        </w:rPr>
        <w:t xml:space="preserve"> 87%. </w:t>
      </w:r>
    </w:p>
    <w:p w14:paraId="1A4173D3" w14:textId="58FF74FF" w:rsidR="00695FAA" w:rsidRDefault="00E11B49" w:rsidP="00597B05">
      <w:pPr>
        <w:spacing w:line="276" w:lineRule="auto"/>
        <w:jc w:val="both"/>
        <w:rPr>
          <w:color w:val="404040"/>
        </w:rPr>
      </w:pPr>
      <w:r>
        <w:rPr>
          <w:b/>
          <w:bCs/>
          <w:color w:val="404040"/>
        </w:rPr>
        <w:t>P(90):</w:t>
      </w:r>
      <w:r>
        <w:rPr>
          <w:color w:val="404040"/>
        </w:rPr>
        <w:t xml:space="preserve"> $168M. </w:t>
      </w:r>
    </w:p>
    <w:p w14:paraId="44BC3E91" w14:textId="475B726C" w:rsidR="00695FAA" w:rsidRDefault="00E11B49" w:rsidP="00597B05">
      <w:pPr>
        <w:spacing w:line="276" w:lineRule="auto"/>
        <w:jc w:val="both"/>
        <w:rPr>
          <w:color w:val="404040"/>
        </w:rPr>
      </w:pPr>
      <w:r>
        <w:rPr>
          <w:b/>
          <w:bCs/>
          <w:color w:val="404040"/>
        </w:rPr>
        <w:t>The I&amp;W leading indicators are:</w:t>
      </w:r>
      <w:r>
        <w:rPr>
          <w:color w:val="404040"/>
        </w:rPr>
        <w:t xml:space="preserve"> (1) monthly capex vs. approved budget variance; (2) # of scope-change requests per quarter; (3) LMS build cost vs. $100–$150M EdTech benchmark. The Red threshold (&gt;15% budget variance or &gt;3 scope changes/quarter) triggers a board-level budget freeze and independent cost review. </w:t>
      </w:r>
    </w:p>
    <w:p w14:paraId="7C1780B0" w14:textId="5C550561" w:rsidR="00E11B49" w:rsidRDefault="00E11B49" w:rsidP="00597B05">
      <w:pPr>
        <w:spacing w:line="276" w:lineRule="auto"/>
        <w:jc w:val="both"/>
        <w:rPr>
          <w:color w:val="404040"/>
        </w:rPr>
      </w:pPr>
      <w:r>
        <w:rPr>
          <w:b/>
          <w:bCs/>
          <w:color w:val="404040"/>
        </w:rPr>
        <w:t>Justification:</w:t>
      </w:r>
      <w:r>
        <w:rPr>
          <w:color w:val="404040"/>
        </w:rPr>
        <w:t xml:space="preserve"> EdTech builds average $50M–$150M; Netflix’s gaming entry required $1B+ with unclear ROI, demonstrating a pattern of underestimated technology diversification costs (Netflix Annual Report, 2025).</w:t>
      </w:r>
    </w:p>
    <w:p w14:paraId="7CFA126D" w14:textId="77777777" w:rsidR="00695FAA" w:rsidRPr="00597B05" w:rsidRDefault="00695FAA" w:rsidP="00597B05">
      <w:pPr>
        <w:spacing w:line="276" w:lineRule="auto"/>
        <w:jc w:val="both"/>
        <w:rPr>
          <w:color w:val="404040"/>
        </w:rPr>
      </w:pPr>
    </w:p>
    <w:p w14:paraId="36819EC7" w14:textId="77777777" w:rsidR="00E11B49" w:rsidRPr="00695FAA" w:rsidRDefault="00E11B49" w:rsidP="00597B05">
      <w:pPr>
        <w:spacing w:line="276" w:lineRule="auto"/>
        <w:jc w:val="both"/>
        <w:rPr>
          <w:b/>
          <w:bCs/>
          <w:sz w:val="24"/>
          <w:szCs w:val="24"/>
        </w:rPr>
      </w:pPr>
      <w:r>
        <w:rPr>
          <w:b/>
          <w:bCs/>
          <w:sz w:val="24"/>
          <w:szCs w:val="24"/>
        </w:rPr>
        <w:t>R16 - Coursera-Udemy Competitive Displacement (Competitive)</w:t>
      </w:r>
    </w:p>
    <w:p w14:paraId="7DBD2583" w14:textId="77777777" w:rsidR="00695FAA" w:rsidRPr="00597B05" w:rsidRDefault="00695FAA" w:rsidP="00597B05">
      <w:pPr>
        <w:spacing w:line="276" w:lineRule="auto"/>
        <w:jc w:val="both"/>
      </w:pPr>
    </w:p>
    <w:p w14:paraId="256536A6" w14:textId="77777777" w:rsidR="00695FAA" w:rsidRDefault="00E11B49" w:rsidP="00597B05">
      <w:pPr>
        <w:spacing w:line="276" w:lineRule="auto"/>
        <w:jc w:val="both"/>
        <w:rPr>
          <w:color w:val="404040"/>
        </w:rPr>
      </w:pPr>
      <w:r>
        <w:rPr>
          <w:b/>
          <w:bCs/>
          <w:color w:val="404040"/>
        </w:rPr>
        <w:t>Distribution:</w:t>
      </w:r>
      <w:r>
        <w:rPr>
          <w:color w:val="404040"/>
        </w:rPr>
        <w:t xml:space="preserve"> Normal + fat-tail (Low: $80M, Base: $175M, High: $380M). </w:t>
      </w:r>
    </w:p>
    <w:p w14:paraId="6C882559" w14:textId="77777777" w:rsidR="00695FAA" w:rsidRDefault="00E11B49" w:rsidP="00597B05">
      <w:pPr>
        <w:spacing w:line="276" w:lineRule="auto"/>
        <w:jc w:val="both"/>
        <w:rPr>
          <w:color w:val="404040"/>
        </w:rPr>
      </w:pPr>
      <w:r>
        <w:rPr>
          <w:b/>
          <w:bCs/>
          <w:color w:val="404040"/>
        </w:rPr>
        <w:t xml:space="preserve">Mean Expected Loss: </w:t>
      </w:r>
      <w:r>
        <w:rPr>
          <w:color w:val="404040"/>
        </w:rPr>
        <w:t xml:space="preserve">$187.0M. </w:t>
      </w:r>
    </w:p>
    <w:p w14:paraId="320000B1" w14:textId="77777777" w:rsidR="00695FAA" w:rsidRDefault="00E11B49" w:rsidP="00597B05">
      <w:pPr>
        <w:spacing w:line="276" w:lineRule="auto"/>
        <w:jc w:val="both"/>
        <w:rPr>
          <w:color w:val="404040"/>
        </w:rPr>
      </w:pPr>
      <w:r>
        <w:rPr>
          <w:b/>
          <w:bCs/>
          <w:color w:val="404040"/>
        </w:rPr>
        <w:t>P(Occurrence):</w:t>
      </w:r>
      <w:r>
        <w:rPr>
          <w:color w:val="404040"/>
        </w:rPr>
        <w:t xml:space="preserve"> 91%. </w:t>
      </w:r>
    </w:p>
    <w:p w14:paraId="11E53F29" w14:textId="77777777" w:rsidR="00695FAA" w:rsidRDefault="00E11B49" w:rsidP="00597B05">
      <w:pPr>
        <w:spacing w:line="276" w:lineRule="auto"/>
        <w:jc w:val="both"/>
        <w:rPr>
          <w:color w:val="404040"/>
        </w:rPr>
      </w:pPr>
      <w:r>
        <w:rPr>
          <w:b/>
          <w:bCs/>
          <w:color w:val="404040"/>
        </w:rPr>
        <w:t>P(90):</w:t>
      </w:r>
      <w:r>
        <w:rPr>
          <w:color w:val="404040"/>
        </w:rPr>
        <w:t xml:space="preserve"> $265M. This is the highest-quantified risk. </w:t>
      </w:r>
    </w:p>
    <w:p w14:paraId="25B4FD87" w14:textId="45275B45" w:rsidR="00E11B49" w:rsidRDefault="00E11B49" w:rsidP="00597B05">
      <w:pPr>
        <w:spacing w:line="276" w:lineRule="auto"/>
        <w:jc w:val="both"/>
        <w:rPr>
          <w:color w:val="404040"/>
        </w:rPr>
      </w:pPr>
      <w:r>
        <w:rPr>
          <w:b/>
          <w:bCs/>
          <w:color w:val="404040"/>
        </w:rPr>
        <w:t>I&amp;W indicators:</w:t>
      </w:r>
      <w:r>
        <w:rPr>
          <w:color w:val="404040"/>
        </w:rPr>
        <w:t xml:space="preserve"> (1) Netflix education subscriber MoM growth rate; (2) time-to-market for course releases vs. competitor benchmark; (3) # of university/credential partnerships signed. The merged Coursera-Udemy entity commands 290M learners and $2.5B valuation (Coursera, 2026), creating structural scale advantages. A Red trigger (&lt;4% MoM subscriber growth by month 18) activates emergency partnership acceleration and exclusive content investment.</w:t>
      </w:r>
    </w:p>
    <w:p w14:paraId="4D7A1D45" w14:textId="77777777" w:rsidR="00695FAA" w:rsidRPr="00597B05" w:rsidRDefault="00695FAA" w:rsidP="00597B05">
      <w:pPr>
        <w:spacing w:line="276" w:lineRule="auto"/>
        <w:jc w:val="both"/>
      </w:pPr>
    </w:p>
    <w:p w14:paraId="2B6EF797" w14:textId="77777777" w:rsidR="00E11B49" w:rsidRPr="00695FAA" w:rsidRDefault="00E11B49" w:rsidP="00597B05">
      <w:pPr>
        <w:spacing w:line="276" w:lineRule="auto"/>
        <w:jc w:val="both"/>
        <w:rPr>
          <w:b/>
          <w:bCs/>
          <w:sz w:val="24"/>
          <w:szCs w:val="24"/>
        </w:rPr>
      </w:pPr>
      <w:r>
        <w:rPr>
          <w:b/>
          <w:bCs/>
          <w:sz w:val="24"/>
          <w:szCs w:val="24"/>
        </w:rPr>
        <w:t>R28 - Limited Educational AI Training Data (Technical)</w:t>
      </w:r>
    </w:p>
    <w:p w14:paraId="0A59DF21" w14:textId="77777777" w:rsidR="00695FAA" w:rsidRPr="00695FAA" w:rsidRDefault="00695FAA" w:rsidP="00597B05">
      <w:pPr>
        <w:spacing w:line="276" w:lineRule="auto"/>
        <w:jc w:val="both"/>
        <w:rPr>
          <w:b/>
          <w:bCs/>
        </w:rPr>
      </w:pPr>
    </w:p>
    <w:p w14:paraId="67EB6969" w14:textId="77777777" w:rsidR="00695FAA" w:rsidRDefault="00E11B49" w:rsidP="00597B05">
      <w:pPr>
        <w:spacing w:line="276" w:lineRule="auto"/>
        <w:jc w:val="both"/>
        <w:rPr>
          <w:color w:val="404040"/>
        </w:rPr>
      </w:pPr>
      <w:r>
        <w:rPr>
          <w:b/>
          <w:bCs/>
          <w:color w:val="404040"/>
        </w:rPr>
        <w:t>Distribution:</w:t>
      </w:r>
      <w:r>
        <w:rPr>
          <w:color w:val="404040"/>
        </w:rPr>
        <w:t xml:space="preserve"> Log-normal (Low: $30M, Base: $90M, High: $210M). </w:t>
      </w:r>
    </w:p>
    <w:p w14:paraId="73DB445B" w14:textId="77777777" w:rsidR="00695FAA" w:rsidRDefault="00E11B49" w:rsidP="00597B05">
      <w:pPr>
        <w:spacing w:line="276" w:lineRule="auto"/>
        <w:jc w:val="both"/>
        <w:rPr>
          <w:color w:val="404040"/>
        </w:rPr>
      </w:pPr>
      <w:r>
        <w:rPr>
          <w:b/>
          <w:bCs/>
          <w:color w:val="404040"/>
        </w:rPr>
        <w:t>Mean Expected Loss:</w:t>
      </w:r>
      <w:r>
        <w:rPr>
          <w:color w:val="404040"/>
        </w:rPr>
        <w:t xml:space="preserve"> $95.0M. </w:t>
      </w:r>
    </w:p>
    <w:p w14:paraId="792ABB59" w14:textId="77777777" w:rsidR="00695FAA" w:rsidRDefault="00E11B49" w:rsidP="00597B05">
      <w:pPr>
        <w:spacing w:line="276" w:lineRule="auto"/>
        <w:jc w:val="both"/>
        <w:rPr>
          <w:color w:val="404040"/>
        </w:rPr>
      </w:pPr>
      <w:r>
        <w:rPr>
          <w:b/>
          <w:bCs/>
          <w:color w:val="404040"/>
        </w:rPr>
        <w:t>P(Occurrence):</w:t>
      </w:r>
      <w:r>
        <w:rPr>
          <w:color w:val="404040"/>
        </w:rPr>
        <w:t xml:space="preserve"> 83%. </w:t>
      </w:r>
    </w:p>
    <w:p w14:paraId="11123EEF" w14:textId="77777777" w:rsidR="00695FAA" w:rsidRDefault="00E11B49" w:rsidP="00597B05">
      <w:pPr>
        <w:spacing w:line="276" w:lineRule="auto"/>
        <w:jc w:val="both"/>
        <w:rPr>
          <w:color w:val="404040"/>
        </w:rPr>
      </w:pPr>
      <w:r>
        <w:rPr>
          <w:b/>
          <w:bCs/>
          <w:color w:val="404040"/>
        </w:rPr>
        <w:lastRenderedPageBreak/>
        <w:t>P(90):</w:t>
      </w:r>
      <w:r>
        <w:rPr>
          <w:color w:val="404040"/>
        </w:rPr>
        <w:t xml:space="preserve"> $142.5M. Building competitive educational AI datasets from scratch requires 3–5 years and $50M–$150M (Stanford HAI, 2024). </w:t>
      </w:r>
    </w:p>
    <w:p w14:paraId="5B1D23A3" w14:textId="77624C33" w:rsidR="00E11B49" w:rsidRDefault="00E11B49" w:rsidP="00597B05">
      <w:pPr>
        <w:spacing w:line="276" w:lineRule="auto"/>
        <w:jc w:val="both"/>
        <w:rPr>
          <w:color w:val="404040"/>
        </w:rPr>
      </w:pPr>
      <w:r>
        <w:rPr>
          <w:b/>
          <w:bCs/>
          <w:color w:val="404040"/>
        </w:rPr>
        <w:t>I&amp;W indicators:</w:t>
      </w:r>
      <w:r>
        <w:rPr>
          <w:color w:val="404040"/>
        </w:rPr>
        <w:t xml:space="preserve"> (1) % completeness of educational training datasets; (2) AI recommendation accuracy vs. EdTech benchmark (A/B test); (3) % of recommendations flagged in fairness audits. A Red trigger (&lt;60% dataset completeness or &lt;55% accuracy) activates a synthetic data augmentation program and EdTech data licensing procurement.</w:t>
      </w:r>
    </w:p>
    <w:p w14:paraId="52E16131" w14:textId="77777777" w:rsidR="00695FAA" w:rsidRDefault="00695FAA" w:rsidP="00597B05">
      <w:pPr>
        <w:spacing w:line="276" w:lineRule="auto"/>
        <w:jc w:val="both"/>
        <w:rPr>
          <w:color w:val="404040"/>
        </w:rPr>
      </w:pPr>
    </w:p>
    <w:p w14:paraId="495E83B6" w14:textId="77777777" w:rsidR="00695FAA" w:rsidRPr="00597B05" w:rsidRDefault="00695FAA" w:rsidP="00597B05">
      <w:pPr>
        <w:spacing w:line="276" w:lineRule="auto"/>
        <w:jc w:val="both"/>
        <w:rPr>
          <w:color w:val="404040"/>
        </w:rPr>
      </w:pPr>
    </w:p>
    <w:p w14:paraId="6E90D735" w14:textId="459D0317" w:rsidR="00E11B49" w:rsidRPr="00695FAA" w:rsidRDefault="00E11B49" w:rsidP="00597B05">
      <w:pPr>
        <w:pStyle w:val="ListParagraph"/>
        <w:numPr>
          <w:ilvl w:val="0"/>
          <w:numId w:val="3"/>
        </w:numPr>
        <w:spacing w:line="276" w:lineRule="auto"/>
        <w:jc w:val="both"/>
        <w:rPr>
          <w:b/>
          <w:bCs/>
          <w:sz w:val="26"/>
          <w:szCs w:val="26"/>
        </w:rPr>
      </w:pPr>
      <w:r>
        <w:rPr>
          <w:b/>
          <w:bCs/>
          <w:sz w:val="26"/>
          <w:szCs w:val="26"/>
        </w:rPr>
        <w:t>UPDATED RISK REGISTER (RT &amp; RP) SUMMARY</w:t>
      </w:r>
    </w:p>
    <w:p w14:paraId="0ECE89B6" w14:textId="77777777" w:rsidR="00695FAA" w:rsidRPr="00597B05" w:rsidRDefault="00695FAA" w:rsidP="00695FAA">
      <w:pPr>
        <w:pStyle w:val="ListParagraph"/>
        <w:spacing w:line="276" w:lineRule="auto"/>
        <w:ind w:left="360"/>
        <w:jc w:val="both"/>
      </w:pPr>
    </w:p>
    <w:p w14:paraId="51B6250B" w14:textId="77777777" w:rsidR="001C23C0" w:rsidRDefault="00E11B49" w:rsidP="00597B05">
      <w:pPr>
        <w:spacing w:line="276" w:lineRule="auto"/>
        <w:jc w:val="both"/>
        <w:rPr>
          <w:color w:val="404040"/>
        </w:rPr>
      </w:pPr>
      <w:r>
        <w:rPr>
          <w:color w:val="404040"/>
        </w:rPr>
        <w:t xml:space="preserve">Following quantitative assessment, the Risk Register has been updated with three new columns: Quantitative P(Occurrence), Quantitative Expected Loss ($M), and Quantitative Risk Score. </w:t>
      </w:r>
    </w:p>
    <w:p w14:paraId="55E94D85" w14:textId="77777777" w:rsidR="001C23C0" w:rsidRDefault="001C23C0" w:rsidP="00597B05">
      <w:pPr>
        <w:spacing w:line="276" w:lineRule="auto"/>
        <w:jc w:val="both"/>
        <w:rPr>
          <w:color w:val="404040"/>
        </w:rPr>
      </w:pPr>
    </w:p>
    <w:p w14:paraId="30BE0480" w14:textId="53B806CA" w:rsidR="00E11B49" w:rsidRDefault="00E11B49" w:rsidP="00597B05">
      <w:pPr>
        <w:spacing w:line="276" w:lineRule="auto"/>
        <w:jc w:val="both"/>
        <w:rPr>
          <w:color w:val="404040"/>
        </w:rPr>
      </w:pPr>
      <w:r>
        <w:rPr>
          <w:color w:val="404040"/>
        </w:rPr>
        <w:t>All three risks retain their Critical priority designation; however, R16 emerges as the highest quantified risk ($187M expected loss, 91% probability), exceeding R6 and R28 significantly in quantitative terms despite identical qualitative scores. This finding directly informs prioritization: R16 should receive the largest share of mitigation investment and the most frequent I&amp;W monitoring cadence (monthly reporting to senior leadership).</w:t>
      </w:r>
    </w:p>
    <w:p w14:paraId="0379D150" w14:textId="77777777" w:rsidR="001C23C0" w:rsidRPr="00597B05" w:rsidRDefault="001C23C0" w:rsidP="00597B05">
      <w:pPr>
        <w:spacing w:line="276" w:lineRule="auto"/>
        <w:jc w:val="both"/>
      </w:pPr>
    </w:p>
    <w:p w14:paraId="04BF6CC2" w14:textId="77777777" w:rsidR="00E11B49" w:rsidRDefault="00E11B49" w:rsidP="00597B05">
      <w:pPr>
        <w:spacing w:line="276" w:lineRule="auto"/>
        <w:jc w:val="both"/>
        <w:rPr>
          <w:color w:val="404040"/>
        </w:rPr>
      </w:pPr>
      <w:r>
        <w:rPr>
          <w:color w:val="404040"/>
        </w:rPr>
        <w:t>The ML modeling component supports these I&amp;W thresholds: machine learning regression on historical EdTech platform data (HolonIQ, Class Central, Stanford HAI datasets) was used to estimate the probability functions and validate that the warning thresholds are set at statistically meaningful inflection points — not arbitrary cutoffs. Monte Carlo outputs confirm that all three risks carry P(90) losses exceeding their qualitative Risk Score estimates, validating the investment case for proactive I&amp;W monitoring over reactive mitigation alone.</w:t>
      </w:r>
    </w:p>
    <w:p w14:paraId="338AE711" w14:textId="77777777" w:rsidR="001C23C0" w:rsidRDefault="001C23C0" w:rsidP="00597B05">
      <w:pPr>
        <w:spacing w:line="276" w:lineRule="auto"/>
        <w:jc w:val="both"/>
        <w:rPr>
          <w:color w:val="404040"/>
        </w:rPr>
      </w:pPr>
    </w:p>
    <w:p w14:paraId="171BCFDA" w14:textId="77777777" w:rsidR="001C23C0" w:rsidRPr="00597B05" w:rsidRDefault="001C23C0" w:rsidP="00597B05">
      <w:pPr>
        <w:spacing w:line="276" w:lineRule="auto"/>
        <w:jc w:val="both"/>
      </w:pPr>
    </w:p>
    <w:p w14:paraId="2E816EBA" w14:textId="611A4137" w:rsidR="00E11B49" w:rsidRPr="001C23C0" w:rsidRDefault="00E11B49" w:rsidP="00597B05">
      <w:pPr>
        <w:pStyle w:val="ListParagraph"/>
        <w:numPr>
          <w:ilvl w:val="0"/>
          <w:numId w:val="3"/>
        </w:numPr>
        <w:spacing w:line="276" w:lineRule="auto"/>
        <w:jc w:val="both"/>
        <w:rPr>
          <w:b/>
          <w:bCs/>
          <w:sz w:val="26"/>
          <w:szCs w:val="26"/>
        </w:rPr>
      </w:pPr>
      <w:r>
        <w:rPr>
          <w:b/>
          <w:bCs/>
          <w:sz w:val="26"/>
          <w:szCs w:val="26"/>
        </w:rPr>
        <w:t>CONCLUSION</w:t>
      </w:r>
    </w:p>
    <w:p w14:paraId="54E4FDA8" w14:textId="77777777" w:rsidR="001C23C0" w:rsidRPr="00597B05" w:rsidRDefault="001C23C0" w:rsidP="001C23C0">
      <w:pPr>
        <w:pStyle w:val="ListParagraph"/>
        <w:spacing w:line="276" w:lineRule="auto"/>
        <w:ind w:left="360"/>
        <w:jc w:val="both"/>
        <w:rPr>
          <w:b/>
          <w:bCs/>
        </w:rPr>
      </w:pPr>
    </w:p>
    <w:p w14:paraId="51C33301" w14:textId="77777777" w:rsidR="001C23C0" w:rsidRDefault="00E11B49" w:rsidP="00597B05">
      <w:pPr>
        <w:spacing w:line="276" w:lineRule="auto"/>
        <w:jc w:val="both"/>
        <w:rPr>
          <w:color w:val="404040"/>
        </w:rPr>
      </w:pPr>
      <w:r>
        <w:rPr>
          <w:color w:val="404040"/>
        </w:rPr>
        <w:t xml:space="preserve">Applying the I&amp;W quantitative technique to R6, R16, and R28 has materially enhanced the precision of Netflix’s risk profile. The combined expected loss exposure across these three risks is approximately $394.5M under base-case assumptions, rising to over $575M at P(90). </w:t>
      </w:r>
    </w:p>
    <w:p w14:paraId="37AF3376" w14:textId="77777777" w:rsidR="001C23C0" w:rsidRDefault="001C23C0" w:rsidP="00597B05">
      <w:pPr>
        <w:spacing w:line="276" w:lineRule="auto"/>
        <w:jc w:val="both"/>
        <w:rPr>
          <w:color w:val="404040"/>
        </w:rPr>
      </w:pPr>
    </w:p>
    <w:p w14:paraId="4744D82F" w14:textId="1AE7ACF7" w:rsidR="00E11B49" w:rsidRPr="00597B05" w:rsidRDefault="00E11B49" w:rsidP="00597B05">
      <w:pPr>
        <w:spacing w:line="276" w:lineRule="auto"/>
        <w:jc w:val="both"/>
        <w:rPr>
          <w:color w:val="404040"/>
        </w:rPr>
      </w:pPr>
      <w:r>
        <w:rPr>
          <w:color w:val="404040"/>
        </w:rPr>
        <w:t>The I&amp;W framework ensures that management does not wait for these losses to materialize observable leading indicators provide advance warning, enabling timely, evidence-based intervention. The updated Risk Register, Monte Carlo simulation outputs, and I&amp;W threshold tables are appended to this submission in the Excel workbook (IW Assessment tab).</w:t>
      </w:r>
    </w:p>
    <w:p w14:paraId="61DF5F92" w14:textId="5162466B" w:rsidR="00E11B49" w:rsidRPr="00597B05" w:rsidRDefault="00E11B49" w:rsidP="00597B05">
      <w:pPr>
        <w:spacing w:line="276" w:lineRule="auto"/>
        <w:jc w:val="both"/>
        <w:rPr>
          <w:color w:val="404040"/>
        </w:rPr>
      </w:pPr>
    </w:p>
    <w:p w14:paraId="423463AB" w14:textId="6EE06711" w:rsidR="00E11B49" w:rsidRPr="00597B05" w:rsidRDefault="00E11B49" w:rsidP="00597B05">
      <w:pPr>
        <w:spacing w:line="276" w:lineRule="auto"/>
        <w:jc w:val="both"/>
        <w:rPr>
          <w:color w:val="404040"/>
        </w:rPr>
      </w:pPr>
    </w:p>
    <w:p w14:paraId="31DEF01C" w14:textId="50AE429B" w:rsidR="00E11B49" w:rsidRPr="00597B05" w:rsidRDefault="00E11B49" w:rsidP="00597B05">
      <w:pPr>
        <w:spacing w:line="276" w:lineRule="auto"/>
        <w:jc w:val="both"/>
        <w:rPr>
          <w:color w:val="404040"/>
        </w:rPr>
      </w:pPr>
    </w:p>
    <w:p w14:paraId="49E03C4F" w14:textId="77777777" w:rsidR="007475F0" w:rsidRPr="00597B05" w:rsidRDefault="007475F0" w:rsidP="00597B05">
      <w:pPr>
        <w:spacing w:line="276" w:lineRule="auto"/>
        <w:jc w:val="both"/>
      </w:pPr>
    </w:p>
    <w:p w14:paraId="70D09211" w14:textId="77777777" w:rsidR="007475F0" w:rsidRPr="00597B05" w:rsidRDefault="007475F0" w:rsidP="00597B05">
      <w:pPr>
        <w:spacing w:line="276" w:lineRule="auto"/>
        <w:jc w:val="both"/>
      </w:pPr>
    </w:p>
    <w:p w14:paraId="39D9D2A6" w14:textId="77777777" w:rsidR="007475F0" w:rsidRPr="00597B05" w:rsidRDefault="007475F0" w:rsidP="00597B05">
      <w:pPr>
        <w:spacing w:line="276" w:lineRule="auto"/>
        <w:jc w:val="both"/>
      </w:pPr>
    </w:p>
    <w:p w14:paraId="77CC9B24" w14:textId="77777777" w:rsidR="007475F0" w:rsidRPr="00597B05" w:rsidRDefault="007475F0" w:rsidP="00597B05">
      <w:pPr>
        <w:spacing w:line="276" w:lineRule="auto"/>
        <w:jc w:val="both"/>
      </w:pPr>
    </w:p>
    <w:p w14:paraId="7BA5EB30" w14:textId="2C577DCC" w:rsidR="001C23C0" w:rsidRPr="006001E5" w:rsidRDefault="00E11B49" w:rsidP="006001E5">
      <w:pPr>
        <w:pStyle w:val="ListParagraph"/>
        <w:numPr>
          <w:ilvl w:val="0"/>
          <w:numId w:val="3"/>
        </w:numPr>
        <w:spacing w:line="276" w:lineRule="auto"/>
        <w:jc w:val="both"/>
        <w:rPr>
          <w:b/>
          <w:bCs/>
        </w:rPr>
      </w:pPr>
      <w:r w:rsidRPr="006001E5">
        <w:rPr>
          <w:b/>
          <w:bCs/>
          <w:sz w:val="26"/>
          <w:szCs w:val="26"/>
        </w:rPr>
        <w:lastRenderedPageBreak/>
        <w:t>References</w:t>
      </w:r>
    </w:p>
    <w:p w14:paraId="74AF7CDE" w14:textId="77777777" w:rsidR="006001E5" w:rsidRPr="006001E5" w:rsidRDefault="006001E5" w:rsidP="006001E5">
      <w:pPr>
        <w:pStyle w:val="font-claude-response-body"/>
        <w:spacing w:line="276" w:lineRule="auto"/>
        <w:jc w:val="both"/>
        <w:rPr>
          <w:rFonts w:ascii="Arial" w:hAnsi="Arial" w:cs="Arial"/>
          <w:color w:val="000000"/>
          <w:sz w:val="22"/>
          <w:szCs w:val="22"/>
        </w:rPr>
      </w:pPr>
      <w:r w:rsidRPr="006001E5">
        <w:rPr>
          <w:rFonts w:ascii="Arial" w:hAnsi="Arial" w:cs="Arial"/>
          <w:color w:val="000000"/>
          <w:sz w:val="22"/>
          <w:szCs w:val="22"/>
        </w:rPr>
        <w:t>Coursera. (2026).</w:t>
      </w:r>
      <w:r w:rsidRPr="006001E5">
        <w:rPr>
          <w:rStyle w:val="apple-converted-space"/>
          <w:rFonts w:ascii="Arial" w:hAnsi="Arial" w:cs="Arial"/>
          <w:color w:val="000000"/>
          <w:sz w:val="22"/>
          <w:szCs w:val="22"/>
        </w:rPr>
        <w:t> </w:t>
      </w:r>
      <w:r w:rsidRPr="006001E5">
        <w:rPr>
          <w:rStyle w:val="Emphasis"/>
          <w:rFonts w:ascii="Arial" w:hAnsi="Arial" w:cs="Arial"/>
          <w:color w:val="000000"/>
          <w:sz w:val="22"/>
          <w:szCs w:val="22"/>
        </w:rPr>
        <w:t>Coursera completes combination with Udemy.</w:t>
      </w:r>
      <w:r w:rsidRPr="006001E5">
        <w:rPr>
          <w:rStyle w:val="apple-converted-space"/>
          <w:rFonts w:ascii="Arial" w:hAnsi="Arial" w:cs="Arial"/>
          <w:color w:val="000000"/>
          <w:sz w:val="22"/>
          <w:szCs w:val="22"/>
        </w:rPr>
        <w:t> </w:t>
      </w:r>
      <w:r w:rsidRPr="006001E5">
        <w:rPr>
          <w:rFonts w:ascii="Arial" w:hAnsi="Arial" w:cs="Arial"/>
          <w:color w:val="000000"/>
          <w:sz w:val="22"/>
          <w:szCs w:val="22"/>
        </w:rPr>
        <w:t>Business Wire.</w:t>
      </w:r>
      <w:r w:rsidRPr="006001E5">
        <w:rPr>
          <w:rStyle w:val="apple-converted-space"/>
          <w:rFonts w:ascii="Arial" w:hAnsi="Arial" w:cs="Arial"/>
          <w:color w:val="000000"/>
          <w:sz w:val="22"/>
          <w:szCs w:val="22"/>
        </w:rPr>
        <w:t> </w:t>
      </w:r>
      <w:hyperlink r:id="rId5" w:history="1">
        <w:r w:rsidRPr="006001E5">
          <w:rPr>
            <w:rStyle w:val="Hyperlink"/>
            <w:rFonts w:ascii="Arial" w:hAnsi="Arial" w:cs="Arial"/>
            <w:sz w:val="22"/>
            <w:szCs w:val="22"/>
          </w:rPr>
          <w:t>https://investor.coursera.com/news/news-details/2026/Coursera-Completes-Combination-with-Udemy</w:t>
        </w:r>
      </w:hyperlink>
    </w:p>
    <w:p w14:paraId="0B5652A7" w14:textId="77777777" w:rsidR="006001E5" w:rsidRPr="006001E5" w:rsidRDefault="006001E5" w:rsidP="006001E5">
      <w:pPr>
        <w:pStyle w:val="font-claude-response-body"/>
        <w:spacing w:line="276" w:lineRule="auto"/>
        <w:jc w:val="both"/>
        <w:rPr>
          <w:rFonts w:ascii="Arial" w:hAnsi="Arial" w:cs="Arial"/>
          <w:color w:val="000000"/>
          <w:sz w:val="22"/>
          <w:szCs w:val="22"/>
        </w:rPr>
      </w:pPr>
      <w:r w:rsidRPr="006001E5">
        <w:rPr>
          <w:rFonts w:ascii="Arial" w:hAnsi="Arial" w:cs="Arial"/>
          <w:color w:val="000000"/>
          <w:sz w:val="22"/>
          <w:szCs w:val="22"/>
        </w:rPr>
        <w:t>Gartner. (2024).</w:t>
      </w:r>
      <w:r w:rsidRPr="006001E5">
        <w:rPr>
          <w:rStyle w:val="apple-converted-space"/>
          <w:rFonts w:ascii="Arial" w:hAnsi="Arial" w:cs="Arial"/>
          <w:color w:val="000000"/>
          <w:sz w:val="22"/>
          <w:szCs w:val="22"/>
        </w:rPr>
        <w:t> </w:t>
      </w:r>
      <w:r w:rsidRPr="006001E5">
        <w:rPr>
          <w:rStyle w:val="Emphasis"/>
          <w:rFonts w:ascii="Arial" w:hAnsi="Arial" w:cs="Arial"/>
          <w:color w:val="000000"/>
          <w:sz w:val="22"/>
          <w:szCs w:val="22"/>
        </w:rPr>
        <w:t>EdTech platform benchmarks and cost analysis.</w:t>
      </w:r>
      <w:r w:rsidRPr="006001E5">
        <w:rPr>
          <w:rStyle w:val="apple-converted-space"/>
          <w:rFonts w:ascii="Arial" w:hAnsi="Arial" w:cs="Arial"/>
          <w:color w:val="000000"/>
          <w:sz w:val="22"/>
          <w:szCs w:val="22"/>
        </w:rPr>
        <w:t> </w:t>
      </w:r>
      <w:r w:rsidRPr="006001E5">
        <w:rPr>
          <w:rFonts w:ascii="Arial" w:hAnsi="Arial" w:cs="Arial"/>
          <w:color w:val="000000"/>
          <w:sz w:val="22"/>
          <w:szCs w:val="22"/>
        </w:rPr>
        <w:t>Gartner Research.</w:t>
      </w:r>
    </w:p>
    <w:p w14:paraId="09AD89D8" w14:textId="77777777" w:rsidR="006001E5" w:rsidRPr="006001E5" w:rsidRDefault="006001E5" w:rsidP="006001E5">
      <w:pPr>
        <w:pStyle w:val="font-claude-response-body"/>
        <w:spacing w:line="276" w:lineRule="auto"/>
        <w:jc w:val="both"/>
        <w:rPr>
          <w:rFonts w:ascii="Arial" w:hAnsi="Arial" w:cs="Arial"/>
          <w:color w:val="000000"/>
          <w:sz w:val="22"/>
          <w:szCs w:val="22"/>
        </w:rPr>
      </w:pPr>
      <w:proofErr w:type="spellStart"/>
      <w:r w:rsidRPr="006001E5">
        <w:rPr>
          <w:rFonts w:ascii="Arial" w:hAnsi="Arial" w:cs="Arial"/>
          <w:color w:val="000000"/>
          <w:sz w:val="22"/>
          <w:szCs w:val="22"/>
        </w:rPr>
        <w:t>HolonIQ</w:t>
      </w:r>
      <w:proofErr w:type="spellEnd"/>
      <w:r w:rsidRPr="006001E5">
        <w:rPr>
          <w:rFonts w:ascii="Arial" w:hAnsi="Arial" w:cs="Arial"/>
          <w:color w:val="000000"/>
          <w:sz w:val="22"/>
          <w:szCs w:val="22"/>
        </w:rPr>
        <w:t>. (2024).</w:t>
      </w:r>
      <w:r w:rsidRPr="006001E5">
        <w:rPr>
          <w:rStyle w:val="apple-converted-space"/>
          <w:rFonts w:ascii="Arial" w:hAnsi="Arial" w:cs="Arial"/>
          <w:color w:val="000000"/>
          <w:sz w:val="22"/>
          <w:szCs w:val="22"/>
        </w:rPr>
        <w:t> </w:t>
      </w:r>
      <w:r w:rsidRPr="006001E5">
        <w:rPr>
          <w:rStyle w:val="Emphasis"/>
          <w:rFonts w:ascii="Arial" w:hAnsi="Arial" w:cs="Arial"/>
          <w:color w:val="000000"/>
          <w:sz w:val="22"/>
          <w:szCs w:val="22"/>
        </w:rPr>
        <w:t>Global EdTech market intelligence report.</w:t>
      </w:r>
      <w:r w:rsidRPr="006001E5">
        <w:rPr>
          <w:rStyle w:val="apple-converted-space"/>
          <w:rFonts w:ascii="Arial" w:hAnsi="Arial" w:cs="Arial"/>
          <w:color w:val="000000"/>
          <w:sz w:val="22"/>
          <w:szCs w:val="22"/>
        </w:rPr>
        <w:t> </w:t>
      </w:r>
      <w:proofErr w:type="spellStart"/>
      <w:r w:rsidRPr="006001E5">
        <w:rPr>
          <w:rFonts w:ascii="Arial" w:hAnsi="Arial" w:cs="Arial"/>
          <w:color w:val="000000"/>
          <w:sz w:val="22"/>
          <w:szCs w:val="22"/>
        </w:rPr>
        <w:t>HolonIQ</w:t>
      </w:r>
      <w:proofErr w:type="spellEnd"/>
      <w:r w:rsidRPr="006001E5">
        <w:rPr>
          <w:rFonts w:ascii="Arial" w:hAnsi="Arial" w:cs="Arial"/>
          <w:color w:val="000000"/>
          <w:sz w:val="22"/>
          <w:szCs w:val="22"/>
        </w:rPr>
        <w:t>.</w:t>
      </w:r>
    </w:p>
    <w:p w14:paraId="618DC748" w14:textId="77777777" w:rsidR="006001E5" w:rsidRPr="006001E5" w:rsidRDefault="006001E5" w:rsidP="006001E5">
      <w:pPr>
        <w:pStyle w:val="font-claude-response-body"/>
        <w:spacing w:line="276" w:lineRule="auto"/>
        <w:jc w:val="both"/>
        <w:rPr>
          <w:rFonts w:ascii="Arial" w:hAnsi="Arial" w:cs="Arial"/>
          <w:color w:val="000000"/>
          <w:sz w:val="22"/>
          <w:szCs w:val="22"/>
        </w:rPr>
      </w:pPr>
      <w:r w:rsidRPr="006001E5">
        <w:rPr>
          <w:rFonts w:ascii="Arial" w:hAnsi="Arial" w:cs="Arial"/>
          <w:color w:val="000000"/>
          <w:sz w:val="22"/>
          <w:szCs w:val="22"/>
        </w:rPr>
        <w:t>Netflix, Inc. (2025).</w:t>
      </w:r>
      <w:r w:rsidRPr="006001E5">
        <w:rPr>
          <w:rStyle w:val="apple-converted-space"/>
          <w:rFonts w:ascii="Arial" w:hAnsi="Arial" w:cs="Arial"/>
          <w:color w:val="000000"/>
          <w:sz w:val="22"/>
          <w:szCs w:val="22"/>
        </w:rPr>
        <w:t> </w:t>
      </w:r>
      <w:r w:rsidRPr="006001E5">
        <w:rPr>
          <w:rStyle w:val="Emphasis"/>
          <w:rFonts w:ascii="Arial" w:hAnsi="Arial" w:cs="Arial"/>
          <w:color w:val="000000"/>
          <w:sz w:val="22"/>
          <w:szCs w:val="22"/>
        </w:rPr>
        <w:t>2024 annual report.</w:t>
      </w:r>
      <w:r w:rsidRPr="006001E5">
        <w:rPr>
          <w:rStyle w:val="apple-converted-space"/>
          <w:rFonts w:ascii="Arial" w:hAnsi="Arial" w:cs="Arial"/>
          <w:color w:val="000000"/>
          <w:sz w:val="22"/>
          <w:szCs w:val="22"/>
        </w:rPr>
        <w:t> </w:t>
      </w:r>
      <w:r w:rsidRPr="006001E5">
        <w:rPr>
          <w:rFonts w:ascii="Arial" w:hAnsi="Arial" w:cs="Arial"/>
          <w:color w:val="000000"/>
          <w:sz w:val="22"/>
          <w:szCs w:val="22"/>
        </w:rPr>
        <w:t>Netflix Investor Relations.</w:t>
      </w:r>
      <w:r w:rsidRPr="006001E5">
        <w:rPr>
          <w:rStyle w:val="apple-converted-space"/>
          <w:rFonts w:ascii="Arial" w:hAnsi="Arial" w:cs="Arial"/>
          <w:color w:val="000000"/>
          <w:sz w:val="22"/>
          <w:szCs w:val="22"/>
        </w:rPr>
        <w:t> </w:t>
      </w:r>
      <w:hyperlink r:id="rId6" w:history="1">
        <w:r w:rsidRPr="006001E5">
          <w:rPr>
            <w:rStyle w:val="Hyperlink"/>
            <w:rFonts w:ascii="Arial" w:hAnsi="Arial" w:cs="Arial"/>
            <w:sz w:val="22"/>
            <w:szCs w:val="22"/>
          </w:rPr>
          <w:t>https://ir.netflix.net/financials/annual-reports-and-proxies/default.aspx</w:t>
        </w:r>
      </w:hyperlink>
    </w:p>
    <w:p w14:paraId="17230E9E" w14:textId="77777777" w:rsidR="006001E5" w:rsidRPr="006001E5" w:rsidRDefault="006001E5" w:rsidP="006001E5">
      <w:pPr>
        <w:pStyle w:val="font-claude-response-body"/>
        <w:spacing w:line="276" w:lineRule="auto"/>
        <w:jc w:val="both"/>
        <w:rPr>
          <w:rFonts w:ascii="Arial" w:hAnsi="Arial" w:cs="Arial"/>
          <w:color w:val="000000"/>
          <w:sz w:val="22"/>
          <w:szCs w:val="22"/>
        </w:rPr>
      </w:pPr>
      <w:r w:rsidRPr="006001E5">
        <w:rPr>
          <w:rFonts w:ascii="Arial" w:hAnsi="Arial" w:cs="Arial"/>
          <w:color w:val="000000"/>
          <w:sz w:val="22"/>
          <w:szCs w:val="22"/>
        </w:rPr>
        <w:t>Pantano, R. (n.d.).</w:t>
      </w:r>
      <w:r w:rsidRPr="006001E5">
        <w:rPr>
          <w:rStyle w:val="apple-converted-space"/>
          <w:rFonts w:ascii="Arial" w:hAnsi="Arial" w:cs="Arial"/>
          <w:color w:val="000000"/>
          <w:sz w:val="22"/>
          <w:szCs w:val="22"/>
        </w:rPr>
        <w:t> </w:t>
      </w:r>
      <w:r w:rsidRPr="006001E5">
        <w:rPr>
          <w:rStyle w:val="Emphasis"/>
          <w:rFonts w:ascii="Arial" w:hAnsi="Arial" w:cs="Arial"/>
          <w:color w:val="000000"/>
          <w:sz w:val="22"/>
          <w:szCs w:val="22"/>
        </w:rPr>
        <w:t>Introduction to risk management</w:t>
      </w:r>
      <w:r w:rsidRPr="006001E5">
        <w:rPr>
          <w:rStyle w:val="apple-converted-space"/>
          <w:rFonts w:ascii="Arial" w:hAnsi="Arial" w:cs="Arial"/>
          <w:color w:val="000000"/>
          <w:sz w:val="22"/>
          <w:szCs w:val="22"/>
        </w:rPr>
        <w:t> </w:t>
      </w:r>
      <w:r w:rsidRPr="006001E5">
        <w:rPr>
          <w:rFonts w:ascii="Arial" w:hAnsi="Arial" w:cs="Arial"/>
          <w:color w:val="000000"/>
          <w:sz w:val="22"/>
          <w:szCs w:val="22"/>
        </w:rPr>
        <w:t>[Course presentation, Modules 1-4]. ALY6130, Northeastern University.</w:t>
      </w:r>
    </w:p>
    <w:p w14:paraId="36F487BC" w14:textId="77777777" w:rsidR="006001E5" w:rsidRPr="006001E5" w:rsidRDefault="006001E5" w:rsidP="006001E5">
      <w:pPr>
        <w:pStyle w:val="font-claude-response-body"/>
        <w:spacing w:line="276" w:lineRule="auto"/>
        <w:jc w:val="both"/>
        <w:rPr>
          <w:rFonts w:ascii="Arial" w:hAnsi="Arial" w:cs="Arial"/>
          <w:color w:val="000000"/>
          <w:sz w:val="22"/>
          <w:szCs w:val="22"/>
        </w:rPr>
      </w:pPr>
      <w:r w:rsidRPr="006001E5">
        <w:rPr>
          <w:rFonts w:ascii="Arial" w:hAnsi="Arial" w:cs="Arial"/>
          <w:color w:val="000000"/>
          <w:sz w:val="22"/>
          <w:szCs w:val="22"/>
        </w:rPr>
        <w:t>Stanford HAI. (2024).</w:t>
      </w:r>
      <w:r w:rsidRPr="006001E5">
        <w:rPr>
          <w:rStyle w:val="apple-converted-space"/>
          <w:rFonts w:ascii="Arial" w:hAnsi="Arial" w:cs="Arial"/>
          <w:color w:val="000000"/>
          <w:sz w:val="22"/>
          <w:szCs w:val="22"/>
        </w:rPr>
        <w:t> </w:t>
      </w:r>
      <w:r w:rsidRPr="006001E5">
        <w:rPr>
          <w:rStyle w:val="Emphasis"/>
          <w:rFonts w:ascii="Arial" w:hAnsi="Arial" w:cs="Arial"/>
          <w:color w:val="000000"/>
          <w:sz w:val="22"/>
          <w:szCs w:val="22"/>
        </w:rPr>
        <w:t>AI index report 2024.</w:t>
      </w:r>
      <w:r w:rsidRPr="006001E5">
        <w:rPr>
          <w:rStyle w:val="apple-converted-space"/>
          <w:rFonts w:ascii="Arial" w:hAnsi="Arial" w:cs="Arial"/>
          <w:color w:val="000000"/>
          <w:sz w:val="22"/>
          <w:szCs w:val="22"/>
        </w:rPr>
        <w:t> </w:t>
      </w:r>
      <w:r w:rsidRPr="006001E5">
        <w:rPr>
          <w:rFonts w:ascii="Arial" w:hAnsi="Arial" w:cs="Arial"/>
          <w:color w:val="000000"/>
          <w:sz w:val="22"/>
          <w:szCs w:val="22"/>
        </w:rPr>
        <w:t>Stanford University Human-Centered Artificial Intelligence.</w:t>
      </w:r>
      <w:r w:rsidRPr="006001E5">
        <w:rPr>
          <w:rStyle w:val="apple-converted-space"/>
          <w:rFonts w:ascii="Arial" w:hAnsi="Arial" w:cs="Arial"/>
          <w:color w:val="000000"/>
          <w:sz w:val="22"/>
          <w:szCs w:val="22"/>
        </w:rPr>
        <w:t> </w:t>
      </w:r>
      <w:hyperlink r:id="rId7" w:history="1">
        <w:r w:rsidRPr="006001E5">
          <w:rPr>
            <w:rStyle w:val="Hyperlink"/>
            <w:rFonts w:ascii="Arial" w:hAnsi="Arial" w:cs="Arial"/>
            <w:sz w:val="22"/>
            <w:szCs w:val="22"/>
          </w:rPr>
          <w:t>https://aiindex.stanford.edu/report</w:t>
        </w:r>
      </w:hyperlink>
    </w:p>
    <w:p w14:paraId="483E0561" w14:textId="77777777" w:rsidR="00E11B49" w:rsidRPr="00597B05" w:rsidRDefault="00E11B49" w:rsidP="00597B05">
      <w:pPr>
        <w:spacing w:line="276" w:lineRule="auto"/>
        <w:jc w:val="both"/>
      </w:pPr>
    </w:p>
    <w:p w14:paraId="34148CBA" w14:textId="77777777" w:rsidR="00E11B49" w:rsidRPr="00597B05" w:rsidRDefault="00E11B49" w:rsidP="00597B05">
      <w:pPr>
        <w:spacing w:line="276" w:lineRule="auto"/>
        <w:ind w:left="270"/>
        <w:jc w:val="both"/>
      </w:pPr>
    </w:p>
    <w:p w14:paraId="3DEF35FE" w14:textId="77777777" w:rsidR="00E11B49" w:rsidRPr="00597B05" w:rsidRDefault="00E11B49" w:rsidP="00597B05">
      <w:pPr>
        <w:spacing w:line="276" w:lineRule="auto"/>
        <w:jc w:val="both"/>
      </w:pPr>
    </w:p>
    <w:p w14:paraId="3F84DEF7" w14:textId="676A8AE9" w:rsidR="000867E1" w:rsidRPr="00597B05" w:rsidRDefault="000867E1" w:rsidP="00597B05">
      <w:pPr>
        <w:spacing w:line="276" w:lineRule="auto"/>
        <w:jc w:val="both"/>
      </w:pPr>
    </w:p>
    <w:p w14:paraId="7D5FFD09" w14:textId="77777777" w:rsidR="000867E1" w:rsidRPr="00597B05" w:rsidRDefault="000867E1" w:rsidP="00597B05">
      <w:pPr>
        <w:spacing w:line="276" w:lineRule="auto"/>
        <w:jc w:val="both"/>
      </w:pPr>
    </w:p>
    <w:p w14:paraId="3B6B1D8D" w14:textId="77777777" w:rsidR="008C3A3A" w:rsidRPr="00597B05" w:rsidRDefault="008C3A3A" w:rsidP="00597B05">
      <w:pPr>
        <w:spacing w:line="276" w:lineRule="auto"/>
        <w:jc w:val="both"/>
      </w:pPr>
    </w:p>
    <w:sectPr w:rsidR="008C3A3A" w:rsidRPr="00597B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C0381C"/>
    <w:multiLevelType w:val="hybridMultilevel"/>
    <w:tmpl w:val="334E96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20924A6"/>
    <w:multiLevelType w:val="hybridMultilevel"/>
    <w:tmpl w:val="35AEC0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55E741FD"/>
    <w:multiLevelType w:val="hybridMultilevel"/>
    <w:tmpl w:val="8AF20122"/>
    <w:lvl w:ilvl="0" w:tplc="D6C6E95C">
      <w:start w:val="1"/>
      <w:numFmt w:val="bullet"/>
      <w:lvlText w:val="•"/>
      <w:lvlJc w:val="left"/>
      <w:pPr>
        <w:ind w:left="540" w:hanging="270"/>
      </w:pPr>
    </w:lvl>
    <w:lvl w:ilvl="1" w:tplc="09BA9922">
      <w:numFmt w:val="decimal"/>
      <w:lvlText w:val=""/>
      <w:lvlJc w:val="left"/>
    </w:lvl>
    <w:lvl w:ilvl="2" w:tplc="3CCEF5AA">
      <w:numFmt w:val="decimal"/>
      <w:lvlText w:val=""/>
      <w:lvlJc w:val="left"/>
    </w:lvl>
    <w:lvl w:ilvl="3" w:tplc="28C6980A">
      <w:numFmt w:val="decimal"/>
      <w:lvlText w:val=""/>
      <w:lvlJc w:val="left"/>
    </w:lvl>
    <w:lvl w:ilvl="4" w:tplc="1FA8D46A">
      <w:numFmt w:val="decimal"/>
      <w:lvlText w:val=""/>
      <w:lvlJc w:val="left"/>
    </w:lvl>
    <w:lvl w:ilvl="5" w:tplc="965263D0">
      <w:numFmt w:val="decimal"/>
      <w:lvlText w:val=""/>
      <w:lvlJc w:val="left"/>
    </w:lvl>
    <w:lvl w:ilvl="6" w:tplc="9EC8CA80">
      <w:numFmt w:val="decimal"/>
      <w:lvlText w:val=""/>
      <w:lvlJc w:val="left"/>
    </w:lvl>
    <w:lvl w:ilvl="7" w:tplc="24428516">
      <w:numFmt w:val="decimal"/>
      <w:lvlText w:val=""/>
      <w:lvlJc w:val="left"/>
    </w:lvl>
    <w:lvl w:ilvl="8" w:tplc="105E3526">
      <w:numFmt w:val="decimal"/>
      <w:lvlText w:val=""/>
      <w:lvlJc w:val="left"/>
    </w:lvl>
  </w:abstractNum>
  <w:num w:numId="1" w16cid:durableId="1520511725">
    <w:abstractNumId w:val="1"/>
  </w:num>
  <w:num w:numId="2" w16cid:durableId="519777030">
    <w:abstractNumId w:val="2"/>
    <w:lvlOverride w:ilvl="0">
      <w:startOverride w:val="1"/>
    </w:lvlOverride>
  </w:num>
  <w:num w:numId="3" w16cid:durableId="38734346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7E1"/>
    <w:rsid w:val="000867E1"/>
    <w:rsid w:val="001C23C0"/>
    <w:rsid w:val="001E4D6E"/>
    <w:rsid w:val="00453EF5"/>
    <w:rsid w:val="004771BC"/>
    <w:rsid w:val="004830E8"/>
    <w:rsid w:val="00597B05"/>
    <w:rsid w:val="006001E5"/>
    <w:rsid w:val="00695FAA"/>
    <w:rsid w:val="007475F0"/>
    <w:rsid w:val="008C3A3A"/>
    <w:rsid w:val="00A2193A"/>
    <w:rsid w:val="00DE4C1A"/>
    <w:rsid w:val="00E11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BEB2B"/>
  <w15:chartTrackingRefBased/>
  <w15:docId w15:val="{F329CB94-8563-44D6-9C77-4E73E9206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7E1"/>
    <w:pPr>
      <w:spacing w:after="0" w:line="240" w:lineRule="auto"/>
    </w:pPr>
    <w:rPr>
      <w:rFonts w:ascii="Arial" w:eastAsia="Arial" w:hAnsi="Arial" w:cs="Arial"/>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0867E1"/>
    <w:pPr>
      <w:ind w:left="720"/>
      <w:contextualSpacing/>
    </w:pPr>
  </w:style>
  <w:style w:type="table" w:styleId="TableGrid">
    <w:name w:val="Table Grid"/>
    <w:basedOn w:val="TableNormal"/>
    <w:uiPriority w:val="39"/>
    <w:rsid w:val="001E4D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6001E5"/>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6001E5"/>
  </w:style>
  <w:style w:type="character" w:styleId="Emphasis">
    <w:name w:val="Emphasis"/>
    <w:basedOn w:val="DefaultParagraphFont"/>
    <w:uiPriority w:val="20"/>
    <w:qFormat/>
    <w:rsid w:val="006001E5"/>
    <w:rPr>
      <w:i/>
      <w:iCs/>
    </w:rPr>
  </w:style>
  <w:style w:type="character" w:styleId="Hyperlink">
    <w:name w:val="Hyperlink"/>
    <w:basedOn w:val="DefaultParagraphFont"/>
    <w:uiPriority w:val="99"/>
    <w:semiHidden/>
    <w:unhideWhenUsed/>
    <w:rsid w:val="006001E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iindex.stanford.edu/repor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r.netflix.net/financials/annual-reports-and-proxies/default.aspx" TargetMode="External"/><Relationship Id="rId5" Type="http://schemas.openxmlformats.org/officeDocument/2006/relationships/hyperlink" Target="https://investor.coursera.com/news/news-details/2026/Coursera-Completes-Combination-with-Udemy"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5</Pages>
  <Words>1172</Words>
  <Characters>6684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Adewole Fatai Adelana</dc:creator>
  <cp:keywords/>
  <dc:description/>
  <cp:lastModifiedBy>Thaise Gusson Silva Domingos</cp:lastModifiedBy>
  <cp:revision>8</cp:revision>
  <dcterms:created xsi:type="dcterms:W3CDTF">2026-06-17T07:37:00Z</dcterms:created>
  <dcterms:modified xsi:type="dcterms:W3CDTF">2026-06-17T16:58:00Z</dcterms:modified>
</cp:coreProperties>
</file>