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F1630" w14:textId="77777777" w:rsidR="00663DFE" w:rsidRDefault="00663DFE" w:rsidP="00663DFE">
      <w:pPr>
        <w:spacing w:after="80"/>
        <w:jc w:val="center"/>
        <w:rPr>
          <w:b/>
          <w:bCs/>
          <w:sz w:val="48"/>
          <w:szCs w:val="48"/>
        </w:rPr>
      </w:pPr>
    </w:p>
    <w:p w14:paraId="6D124130" w14:textId="77777777" w:rsidR="00663DFE" w:rsidRDefault="00663DFE" w:rsidP="00663DFE">
      <w:pPr>
        <w:spacing w:after="80"/>
        <w:jc w:val="center"/>
        <w:rPr>
          <w:b/>
          <w:bCs/>
          <w:sz w:val="48"/>
          <w:szCs w:val="48"/>
        </w:rPr>
      </w:pPr>
    </w:p>
    <w:p w14:paraId="0AA09786" w14:textId="77777777" w:rsidR="00663DFE" w:rsidRDefault="00663DFE" w:rsidP="00663DFE">
      <w:pPr>
        <w:spacing w:after="80"/>
        <w:jc w:val="center"/>
        <w:rPr>
          <w:b/>
          <w:bCs/>
          <w:sz w:val="48"/>
          <w:szCs w:val="48"/>
        </w:rPr>
      </w:pPr>
    </w:p>
    <w:p w14:paraId="61E1625C" w14:textId="77777777" w:rsidR="00663DFE" w:rsidRDefault="00663DFE" w:rsidP="00663DFE">
      <w:pPr>
        <w:spacing w:after="80"/>
        <w:jc w:val="center"/>
        <w:rPr>
          <w:b/>
          <w:bCs/>
          <w:sz w:val="48"/>
          <w:szCs w:val="48"/>
        </w:rPr>
      </w:pPr>
    </w:p>
    <w:p w14:paraId="2A795A69" w14:textId="77777777" w:rsidR="00663DFE" w:rsidRDefault="00663DFE" w:rsidP="00663DFE">
      <w:pPr>
        <w:spacing w:after="80"/>
        <w:jc w:val="center"/>
        <w:rPr>
          <w:b/>
          <w:bCs/>
          <w:sz w:val="48"/>
          <w:szCs w:val="48"/>
        </w:rPr>
      </w:pPr>
    </w:p>
    <w:p w14:paraId="27541FB7" w14:textId="3FEC362C" w:rsidR="00663DFE" w:rsidRDefault="00663DFE" w:rsidP="00663DFE">
      <w:pPr>
        <w:spacing w:after="80"/>
        <w:jc w:val="center"/>
        <w:rPr>
          <w:b/>
          <w:bCs/>
          <w:sz w:val="48"/>
          <w:szCs w:val="48"/>
        </w:rPr>
      </w:pPr>
      <w:r>
        <w:rPr>
          <w:b/>
          <w:bCs/>
          <w:sz w:val="48"/>
          <w:szCs w:val="48"/>
        </w:rPr>
        <w:t>SWOT Analysis</w:t>
      </w:r>
    </w:p>
    <w:p w14:paraId="1ABFC623" w14:textId="77777777" w:rsidR="00663DFE" w:rsidRPr="00663DFE" w:rsidRDefault="00663DFE" w:rsidP="00663DFE">
      <w:pPr>
        <w:spacing w:after="100"/>
        <w:jc w:val="center"/>
        <w:rPr>
          <w:b/>
          <w:bCs/>
          <w:sz w:val="36"/>
          <w:szCs w:val="36"/>
        </w:rPr>
      </w:pPr>
      <w:r w:rsidRPr="00663DFE">
        <w:rPr>
          <w:b/>
          <w:bCs/>
          <w:sz w:val="36"/>
          <w:szCs w:val="36"/>
        </w:rPr>
        <w:t>Netflix — Expansion into Online Education</w:t>
      </w:r>
    </w:p>
    <w:p w14:paraId="615184E6" w14:textId="77777777" w:rsidR="00663DFE" w:rsidRDefault="00663DFE" w:rsidP="00663DFE">
      <w:pPr>
        <w:pBdr>
          <w:bottom w:val="single" w:sz="6" w:space="1" w:color="1F4E79"/>
        </w:pBdr>
        <w:spacing w:after="400"/>
      </w:pPr>
    </w:p>
    <w:p w14:paraId="291D7C8A" w14:textId="77777777" w:rsidR="00663DFE" w:rsidRDefault="00663DFE" w:rsidP="00663DFE">
      <w:pPr>
        <w:spacing w:after="120"/>
        <w:jc w:val="center"/>
        <w:rPr>
          <w:b/>
          <w:bCs/>
          <w:sz w:val="32"/>
          <w:szCs w:val="32"/>
        </w:rPr>
      </w:pPr>
      <w:r>
        <w:rPr>
          <w:b/>
          <w:bCs/>
          <w:sz w:val="32"/>
          <w:szCs w:val="32"/>
        </w:rPr>
        <w:t xml:space="preserve">Group 4 members: </w:t>
      </w:r>
    </w:p>
    <w:p w14:paraId="470808AD" w14:textId="77777777" w:rsidR="00663DFE" w:rsidRPr="00663DFE" w:rsidRDefault="00663DFE" w:rsidP="00663DFE">
      <w:pPr>
        <w:spacing w:line="360" w:lineRule="auto"/>
        <w:jc w:val="center"/>
        <w:rPr>
          <w:b/>
          <w:bCs/>
          <w:color w:val="444444"/>
          <w:sz w:val="24"/>
          <w:szCs w:val="24"/>
        </w:rPr>
      </w:pPr>
      <w:r w:rsidRPr="00663DFE">
        <w:rPr>
          <w:b/>
          <w:bCs/>
          <w:color w:val="444444"/>
          <w:sz w:val="24"/>
          <w:szCs w:val="24"/>
        </w:rPr>
        <w:t>Adewole Fatai Adelana</w:t>
      </w:r>
    </w:p>
    <w:p w14:paraId="6A801155" w14:textId="3F8406DC" w:rsidR="00663DFE" w:rsidRPr="00663DFE" w:rsidRDefault="00663DFE" w:rsidP="00663DFE">
      <w:pPr>
        <w:spacing w:line="360" w:lineRule="auto"/>
        <w:jc w:val="center"/>
        <w:rPr>
          <w:b/>
          <w:bCs/>
          <w:color w:val="444444"/>
          <w:sz w:val="24"/>
          <w:szCs w:val="24"/>
        </w:rPr>
      </w:pPr>
      <w:r w:rsidRPr="00663DFE">
        <w:rPr>
          <w:b/>
          <w:bCs/>
          <w:color w:val="444444"/>
          <w:sz w:val="24"/>
          <w:szCs w:val="24"/>
        </w:rPr>
        <w:t>Juliana Gyamfua</w:t>
      </w:r>
    </w:p>
    <w:p w14:paraId="24E9AB75" w14:textId="780B7478" w:rsidR="00663DFE" w:rsidRPr="00663DFE" w:rsidRDefault="00663DFE" w:rsidP="00663DFE">
      <w:pPr>
        <w:spacing w:line="360" w:lineRule="auto"/>
        <w:jc w:val="center"/>
        <w:rPr>
          <w:b/>
          <w:bCs/>
          <w:color w:val="444444"/>
          <w:sz w:val="24"/>
          <w:szCs w:val="24"/>
        </w:rPr>
      </w:pPr>
      <w:r w:rsidRPr="00663DFE">
        <w:rPr>
          <w:b/>
          <w:bCs/>
          <w:color w:val="444444"/>
          <w:sz w:val="24"/>
          <w:szCs w:val="24"/>
        </w:rPr>
        <w:t>Thaise Gusson Silva Domingos</w:t>
      </w:r>
    </w:p>
    <w:p w14:paraId="0F644818" w14:textId="33635DC1" w:rsidR="00663DFE" w:rsidRPr="00663DFE" w:rsidRDefault="00663DFE" w:rsidP="00663DFE">
      <w:pPr>
        <w:spacing w:line="360" w:lineRule="auto"/>
        <w:jc w:val="center"/>
        <w:rPr>
          <w:color w:val="444444"/>
          <w:sz w:val="24"/>
          <w:szCs w:val="24"/>
        </w:rPr>
      </w:pPr>
    </w:p>
    <w:p w14:paraId="152E80B6" w14:textId="77777777" w:rsidR="00663DFE" w:rsidRPr="004D2695" w:rsidRDefault="00663DFE" w:rsidP="00663DFE">
      <w:pPr>
        <w:spacing w:line="360" w:lineRule="auto"/>
        <w:jc w:val="center"/>
        <w:rPr>
          <w:color w:val="444444"/>
          <w:sz w:val="24"/>
          <w:szCs w:val="24"/>
        </w:rPr>
      </w:pPr>
      <w:r w:rsidRPr="004D2695">
        <w:rPr>
          <w:color w:val="444444"/>
          <w:sz w:val="24"/>
          <w:szCs w:val="24"/>
        </w:rPr>
        <w:t>Master of Professional Studies in Analytics</w:t>
      </w:r>
    </w:p>
    <w:p w14:paraId="340C7E3D" w14:textId="77777777" w:rsidR="00663DFE" w:rsidRPr="004D2695" w:rsidRDefault="00663DFE" w:rsidP="00663DFE">
      <w:pPr>
        <w:spacing w:line="360" w:lineRule="auto"/>
        <w:jc w:val="center"/>
        <w:rPr>
          <w:color w:val="444444"/>
          <w:sz w:val="24"/>
          <w:szCs w:val="24"/>
        </w:rPr>
      </w:pPr>
      <w:r w:rsidRPr="004D2695">
        <w:rPr>
          <w:color w:val="444444"/>
          <w:sz w:val="24"/>
          <w:szCs w:val="24"/>
        </w:rPr>
        <w:t>Northeastern University, College of Professional Studies</w:t>
      </w:r>
    </w:p>
    <w:p w14:paraId="5E53C5DF" w14:textId="487891CE" w:rsidR="00663DFE" w:rsidRPr="004D2695" w:rsidRDefault="00663DFE" w:rsidP="00663DFE">
      <w:pPr>
        <w:spacing w:line="360" w:lineRule="auto"/>
        <w:jc w:val="center"/>
        <w:rPr>
          <w:color w:val="444444"/>
          <w:sz w:val="24"/>
          <w:szCs w:val="24"/>
        </w:rPr>
      </w:pPr>
      <w:r w:rsidRPr="004D2695">
        <w:rPr>
          <w:color w:val="444444"/>
          <w:sz w:val="24"/>
          <w:szCs w:val="24"/>
        </w:rPr>
        <w:t>ALY61</w:t>
      </w:r>
      <w:r w:rsidRPr="004D2695">
        <w:rPr>
          <w:color w:val="444444"/>
          <w:sz w:val="24"/>
          <w:szCs w:val="24"/>
        </w:rPr>
        <w:t>3</w:t>
      </w:r>
      <w:r w:rsidRPr="004D2695">
        <w:rPr>
          <w:color w:val="444444"/>
          <w:sz w:val="24"/>
          <w:szCs w:val="24"/>
        </w:rPr>
        <w:t>0 – Risk Management for Analytics</w:t>
      </w:r>
    </w:p>
    <w:p w14:paraId="4EDAE270" w14:textId="75C646FE" w:rsidR="00663DFE" w:rsidRPr="004D2695" w:rsidRDefault="00663DFE" w:rsidP="00663DFE">
      <w:pPr>
        <w:spacing w:line="360" w:lineRule="auto"/>
        <w:jc w:val="center"/>
        <w:rPr>
          <w:color w:val="444444"/>
          <w:sz w:val="24"/>
          <w:szCs w:val="24"/>
        </w:rPr>
      </w:pPr>
      <w:r w:rsidRPr="004D2695">
        <w:rPr>
          <w:color w:val="444444"/>
          <w:sz w:val="24"/>
          <w:szCs w:val="24"/>
        </w:rPr>
        <w:t xml:space="preserve">Professor: </w:t>
      </w:r>
      <w:r w:rsidRPr="004D2695">
        <w:rPr>
          <w:rFonts w:ascii="Lato" w:hAnsi="Lato"/>
          <w:color w:val="000000"/>
          <w:sz w:val="24"/>
          <w:szCs w:val="24"/>
          <w:shd w:val="clear" w:color="auto" w:fill="FFFFFF"/>
        </w:rPr>
        <w:t>Abeba N. Turi</w:t>
      </w:r>
    </w:p>
    <w:p w14:paraId="3E2DC824" w14:textId="77777777" w:rsidR="00663DFE" w:rsidRDefault="00663DFE" w:rsidP="00663DFE">
      <w:pPr>
        <w:spacing w:line="360" w:lineRule="auto"/>
        <w:jc w:val="center"/>
        <w:rPr>
          <w:color w:val="444444"/>
        </w:rPr>
      </w:pPr>
    </w:p>
    <w:p w14:paraId="7D63E4AA" w14:textId="77777777" w:rsidR="00663DFE" w:rsidRDefault="00663DFE" w:rsidP="00663DFE">
      <w:pPr>
        <w:spacing w:line="360" w:lineRule="auto"/>
        <w:jc w:val="center"/>
        <w:rPr>
          <w:color w:val="444444"/>
        </w:rPr>
      </w:pPr>
    </w:p>
    <w:p w14:paraId="7C485AEB" w14:textId="77777777" w:rsidR="00663DFE" w:rsidRDefault="00663DFE" w:rsidP="00663DFE">
      <w:pPr>
        <w:spacing w:line="360" w:lineRule="auto"/>
        <w:jc w:val="center"/>
        <w:rPr>
          <w:color w:val="444444"/>
          <w:sz w:val="24"/>
          <w:szCs w:val="24"/>
        </w:rPr>
      </w:pPr>
    </w:p>
    <w:p w14:paraId="7ED4F1AA" w14:textId="77777777" w:rsidR="00663DFE" w:rsidRDefault="00663DFE" w:rsidP="00663DFE">
      <w:pPr>
        <w:spacing w:line="360" w:lineRule="auto"/>
        <w:jc w:val="center"/>
        <w:rPr>
          <w:color w:val="444444"/>
          <w:sz w:val="24"/>
          <w:szCs w:val="24"/>
        </w:rPr>
      </w:pPr>
    </w:p>
    <w:p w14:paraId="4A47F02E" w14:textId="77777777" w:rsidR="00663DFE" w:rsidRDefault="00663DFE" w:rsidP="00663DFE">
      <w:pPr>
        <w:spacing w:line="360" w:lineRule="auto"/>
        <w:jc w:val="center"/>
        <w:rPr>
          <w:color w:val="444444"/>
          <w:sz w:val="24"/>
          <w:szCs w:val="24"/>
        </w:rPr>
      </w:pPr>
    </w:p>
    <w:p w14:paraId="44D6046E" w14:textId="77777777" w:rsidR="00663DFE" w:rsidRDefault="00663DFE" w:rsidP="00663DFE">
      <w:pPr>
        <w:spacing w:line="360" w:lineRule="auto"/>
        <w:jc w:val="center"/>
        <w:rPr>
          <w:color w:val="444444"/>
          <w:sz w:val="24"/>
          <w:szCs w:val="24"/>
        </w:rPr>
      </w:pPr>
    </w:p>
    <w:p w14:paraId="6174C321" w14:textId="77777777" w:rsidR="00663DFE" w:rsidRDefault="00663DFE" w:rsidP="00663DFE">
      <w:pPr>
        <w:spacing w:line="360" w:lineRule="auto"/>
        <w:jc w:val="center"/>
        <w:rPr>
          <w:color w:val="444444"/>
          <w:sz w:val="24"/>
          <w:szCs w:val="24"/>
        </w:rPr>
      </w:pPr>
    </w:p>
    <w:p w14:paraId="46291884" w14:textId="77777777" w:rsidR="00663DFE" w:rsidRDefault="00663DFE" w:rsidP="00663DFE">
      <w:pPr>
        <w:spacing w:line="360" w:lineRule="auto"/>
        <w:jc w:val="center"/>
        <w:rPr>
          <w:color w:val="444444"/>
          <w:sz w:val="24"/>
          <w:szCs w:val="24"/>
        </w:rPr>
      </w:pPr>
    </w:p>
    <w:p w14:paraId="22FE9163" w14:textId="77777777" w:rsidR="00663DFE" w:rsidRDefault="00663DFE" w:rsidP="00663DFE">
      <w:pPr>
        <w:spacing w:line="360" w:lineRule="auto"/>
        <w:jc w:val="center"/>
        <w:rPr>
          <w:color w:val="444444"/>
          <w:sz w:val="24"/>
          <w:szCs w:val="24"/>
        </w:rPr>
      </w:pPr>
    </w:p>
    <w:p w14:paraId="45BBC26B" w14:textId="77606FB9" w:rsidR="00663DFE" w:rsidRPr="004D2695" w:rsidRDefault="00663DFE" w:rsidP="00663DFE">
      <w:pPr>
        <w:spacing w:line="360" w:lineRule="auto"/>
        <w:jc w:val="center"/>
        <w:rPr>
          <w:color w:val="444444"/>
        </w:rPr>
      </w:pPr>
      <w:r w:rsidRPr="004D2695">
        <w:rPr>
          <w:color w:val="444444"/>
        </w:rPr>
        <w:t xml:space="preserve">May </w:t>
      </w:r>
      <w:r w:rsidRPr="004D2695">
        <w:rPr>
          <w:color w:val="444444"/>
        </w:rPr>
        <w:t>25</w:t>
      </w:r>
      <w:r w:rsidRPr="004D2695">
        <w:rPr>
          <w:color w:val="444444"/>
        </w:rPr>
        <w:t>, 2026</w:t>
      </w:r>
    </w:p>
    <w:p w14:paraId="1A1AB525" w14:textId="77777777" w:rsidR="00A3532B" w:rsidRDefault="00000000" w:rsidP="00A3532B">
      <w:pPr>
        <w:spacing w:line="276" w:lineRule="auto"/>
        <w:jc w:val="both"/>
        <w:rPr>
          <w:b/>
          <w:bCs/>
          <w:sz w:val="28"/>
          <w:szCs w:val="28"/>
        </w:rPr>
      </w:pPr>
      <w:r w:rsidRPr="00663DFE">
        <w:rPr>
          <w:b/>
          <w:bCs/>
          <w:sz w:val="28"/>
          <w:szCs w:val="28"/>
        </w:rPr>
        <w:lastRenderedPageBreak/>
        <w:t xml:space="preserve">SWOT </w:t>
      </w:r>
      <w:proofErr w:type="spellStart"/>
      <w:r w:rsidRPr="00663DFE">
        <w:rPr>
          <w:b/>
          <w:bCs/>
          <w:sz w:val="28"/>
          <w:szCs w:val="28"/>
        </w:rPr>
        <w:t>Analysis</w:t>
      </w:r>
      <w:proofErr w:type="spellEnd"/>
    </w:p>
    <w:p w14:paraId="54595559" w14:textId="263D560B" w:rsidR="00A3532B" w:rsidRPr="00A3532B" w:rsidRDefault="00A3532B" w:rsidP="00A3532B">
      <w:pPr>
        <w:spacing w:line="276" w:lineRule="auto"/>
        <w:jc w:val="both"/>
        <w:rPr>
          <w:b/>
          <w:bCs/>
          <w:sz w:val="21"/>
          <w:szCs w:val="21"/>
        </w:rPr>
      </w:pPr>
      <w:r w:rsidRPr="00A3532B">
        <w:rPr>
          <w:b/>
          <w:bCs/>
          <w:sz w:val="24"/>
          <w:szCs w:val="24"/>
        </w:rPr>
        <w:t>Netflix — Expansion into Online Education</w:t>
      </w:r>
    </w:p>
    <w:p w14:paraId="02794250" w14:textId="72214E2A" w:rsidR="007346A1" w:rsidRDefault="007346A1">
      <w:pPr>
        <w:spacing w:after="12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346A1" w14:paraId="73453585" w14:textId="77777777" w:rsidTr="004D2695">
        <w:tblPrEx>
          <w:tblCellMar>
            <w:top w:w="0" w:type="dxa"/>
            <w:bottom w:w="0" w:type="dxa"/>
          </w:tblCellMar>
        </w:tblPrEx>
        <w:trPr>
          <w:jc w:val="center"/>
        </w:trPr>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120" w:type="dxa"/>
              <w:left w:w="180" w:type="dxa"/>
              <w:bottom w:w="120" w:type="dxa"/>
              <w:right w:w="180" w:type="dxa"/>
            </w:tcMar>
            <w:vAlign w:val="center"/>
          </w:tcPr>
          <w:p w14:paraId="00F1ADC4" w14:textId="77777777" w:rsidR="007346A1" w:rsidRDefault="00000000">
            <w:pPr>
              <w:jc w:val="center"/>
            </w:pPr>
            <w:r>
              <w:rPr>
                <w:b/>
                <w:bCs/>
                <w:color w:val="FFFFFF"/>
                <w:sz w:val="26"/>
                <w:szCs w:val="26"/>
              </w:rPr>
              <w:t>STRENGTHS</w:t>
            </w:r>
          </w:p>
        </w:tc>
        <w:tc>
          <w:tcPr>
            <w:tcW w:w="4680" w:type="dxa"/>
            <w:tcBorders>
              <w:top w:val="single" w:sz="4" w:space="0" w:color="2E75B6"/>
              <w:left w:val="single" w:sz="4" w:space="0" w:color="2E75B6"/>
              <w:bottom w:val="single" w:sz="4" w:space="0" w:color="2E75B6"/>
              <w:right w:val="single" w:sz="4" w:space="0" w:color="2E75B6"/>
            </w:tcBorders>
            <w:shd w:val="clear" w:color="auto" w:fill="C00000"/>
            <w:tcMar>
              <w:top w:w="120" w:type="dxa"/>
              <w:left w:w="180" w:type="dxa"/>
              <w:bottom w:w="120" w:type="dxa"/>
              <w:right w:w="180" w:type="dxa"/>
            </w:tcMar>
            <w:vAlign w:val="center"/>
          </w:tcPr>
          <w:p w14:paraId="52A3DC3F" w14:textId="77777777" w:rsidR="007346A1" w:rsidRDefault="00000000">
            <w:pPr>
              <w:jc w:val="center"/>
            </w:pPr>
            <w:r>
              <w:rPr>
                <w:b/>
                <w:bCs/>
                <w:color w:val="FFFFFF"/>
                <w:sz w:val="26"/>
                <w:szCs w:val="26"/>
              </w:rPr>
              <w:t>WEAKNESSES</w:t>
            </w:r>
          </w:p>
        </w:tc>
      </w:tr>
      <w:tr w:rsidR="007346A1" w14:paraId="0B42AD2A" w14:textId="77777777" w:rsidTr="004D2695">
        <w:tblPrEx>
          <w:tblCellMar>
            <w:top w:w="0" w:type="dxa"/>
            <w:bottom w:w="0" w:type="dxa"/>
          </w:tblCellMar>
        </w:tblPrEx>
        <w:trPr>
          <w:jc w:val="center"/>
        </w:trPr>
        <w:tc>
          <w:tcPr>
            <w:tcW w:w="468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6CCF61F7" w14:textId="2DB4EEC7" w:rsidR="0001291A" w:rsidRDefault="002250DE" w:rsidP="0047202A">
            <w:pPr>
              <w:jc w:val="both"/>
            </w:pPr>
            <w:r>
              <w:rPr>
                <w:rFonts w:hAnsi="Symbol"/>
              </w:rPr>
              <w:t></w:t>
            </w:r>
            <w:r>
              <w:t xml:space="preserve"> Netflix</w:t>
            </w:r>
            <w:r w:rsidR="0001291A">
              <w:t xml:space="preserve"> has a global subscriber base of over 300 million users, providing an immediate distribution channel for new educational content.</w:t>
            </w:r>
          </w:p>
          <w:p w14:paraId="6AEE2C07" w14:textId="2F8BB020" w:rsidR="0001291A" w:rsidRDefault="002250DE" w:rsidP="0047202A">
            <w:pPr>
              <w:jc w:val="both"/>
            </w:pPr>
            <w:r>
              <w:rPr>
                <w:rFonts w:hAnsi="Symbol"/>
              </w:rPr>
              <w:t></w:t>
            </w:r>
            <w:r>
              <w:t xml:space="preserve"> Its</w:t>
            </w:r>
            <w:r w:rsidR="0001291A">
              <w:t xml:space="preserve"> proprietary recommendation algorithm can be adapted to personalize learning experiences based on individual preferences and progress.</w:t>
            </w:r>
          </w:p>
          <w:p w14:paraId="760F14E1" w14:textId="3BEEF7F2" w:rsidR="007346A1" w:rsidRDefault="0001291A" w:rsidP="0047202A">
            <w:pPr>
              <w:jc w:val="both"/>
            </w:pPr>
            <w:r>
              <w:rPr>
                <w:rFonts w:hAnsi="Symbol"/>
              </w:rPr>
              <w:t></w:t>
            </w:r>
            <w:r w:rsidR="0047202A">
              <w:rPr>
                <w:rFonts w:hAnsi="Symbol"/>
              </w:rPr>
              <w:t xml:space="preserve"> </w:t>
            </w:r>
            <w:r>
              <w:t>Netflix has deep expertise in content production and licensing, enabling it to develop or acquire high-quality educational material at scale.</w:t>
            </w:r>
          </w:p>
        </w:tc>
        <w:tc>
          <w:tcPr>
            <w:tcW w:w="4680" w:type="dxa"/>
            <w:tcBorders>
              <w:top w:val="single" w:sz="4" w:space="0" w:color="2E75B6"/>
              <w:left w:val="single" w:sz="4" w:space="0" w:color="2E75B6"/>
              <w:bottom w:val="single" w:sz="4" w:space="0" w:color="2E75B6"/>
              <w:right w:val="single" w:sz="4" w:space="0" w:color="2E75B6"/>
            </w:tcBorders>
            <w:shd w:val="clear" w:color="auto" w:fill="FDECEA"/>
            <w:tcMar>
              <w:top w:w="120" w:type="dxa"/>
              <w:left w:w="180" w:type="dxa"/>
              <w:bottom w:w="120" w:type="dxa"/>
              <w:right w:w="180" w:type="dxa"/>
            </w:tcMar>
          </w:tcPr>
          <w:p w14:paraId="3B5B25B8" w14:textId="6E546411" w:rsidR="0001291A" w:rsidRDefault="002250DE" w:rsidP="0047202A">
            <w:pPr>
              <w:jc w:val="both"/>
            </w:pPr>
            <w:r>
              <w:rPr>
                <w:rFonts w:hAnsi="Symbol"/>
              </w:rPr>
              <w:t></w:t>
            </w:r>
            <w:r>
              <w:t xml:space="preserve"> Netflix</w:t>
            </w:r>
            <w:r w:rsidR="0001291A">
              <w:t xml:space="preserve"> lacks credentialing capabilities, which are essential in the formal education market where certifications matter to learners and employers.</w:t>
            </w:r>
          </w:p>
          <w:p w14:paraId="32C2CED9" w14:textId="0F6209B0" w:rsidR="0001291A" w:rsidRDefault="002250DE" w:rsidP="0047202A">
            <w:pPr>
              <w:jc w:val="both"/>
            </w:pPr>
            <w:r>
              <w:rPr>
                <w:rFonts w:hAnsi="Symbol"/>
              </w:rPr>
              <w:t></w:t>
            </w:r>
            <w:r>
              <w:t xml:space="preserve"> The</w:t>
            </w:r>
            <w:r w:rsidR="0001291A">
              <w:t xml:space="preserve"> brand is strongly associated with entertainment, which may create skepticism among learners and resistance from academic institutions.</w:t>
            </w:r>
          </w:p>
          <w:p w14:paraId="04535078" w14:textId="5110E6CD" w:rsidR="007346A1" w:rsidRDefault="002250DE" w:rsidP="0047202A">
            <w:pPr>
              <w:jc w:val="both"/>
            </w:pPr>
            <w:r>
              <w:rPr>
                <w:rFonts w:hAnsi="Symbol"/>
              </w:rPr>
              <w:t></w:t>
            </w:r>
            <w:r>
              <w:rPr>
                <w:rFonts w:hAnsi="Symbol"/>
              </w:rPr>
              <w:t xml:space="preserve"> Its</w:t>
            </w:r>
            <w:r w:rsidR="0001291A">
              <w:t xml:space="preserve"> subscription model is not naturally suited for course-based learning, and restructuring the pricing approach would require significant operational changes.</w:t>
            </w:r>
          </w:p>
        </w:tc>
      </w:tr>
      <w:tr w:rsidR="007346A1" w14:paraId="7358267D" w14:textId="77777777" w:rsidTr="004D2695">
        <w:tblPrEx>
          <w:tblCellMar>
            <w:top w:w="0" w:type="dxa"/>
            <w:bottom w:w="0" w:type="dxa"/>
          </w:tblCellMar>
        </w:tblPrEx>
        <w:trPr>
          <w:jc w:val="center"/>
        </w:trPr>
        <w:tc>
          <w:tcPr>
            <w:tcW w:w="4680" w:type="dxa"/>
            <w:tcBorders>
              <w:top w:val="single" w:sz="4" w:space="0" w:color="2E75B6"/>
              <w:left w:val="single" w:sz="4" w:space="0" w:color="2E75B6"/>
              <w:bottom w:val="single" w:sz="4" w:space="0" w:color="2E75B6"/>
              <w:right w:val="single" w:sz="4" w:space="0" w:color="2E75B6"/>
            </w:tcBorders>
            <w:shd w:val="clear" w:color="auto" w:fill="375623"/>
            <w:tcMar>
              <w:top w:w="120" w:type="dxa"/>
              <w:left w:w="180" w:type="dxa"/>
              <w:bottom w:w="120" w:type="dxa"/>
              <w:right w:w="180" w:type="dxa"/>
            </w:tcMar>
            <w:vAlign w:val="center"/>
          </w:tcPr>
          <w:p w14:paraId="17F9E61F" w14:textId="77777777" w:rsidR="007346A1" w:rsidRDefault="00000000">
            <w:pPr>
              <w:jc w:val="center"/>
            </w:pPr>
            <w:r>
              <w:rPr>
                <w:b/>
                <w:bCs/>
                <w:color w:val="FFFFFF"/>
                <w:sz w:val="26"/>
                <w:szCs w:val="26"/>
              </w:rPr>
              <w:t>OPPORTUNITIES</w:t>
            </w:r>
          </w:p>
        </w:tc>
        <w:tc>
          <w:tcPr>
            <w:tcW w:w="4680" w:type="dxa"/>
            <w:tcBorders>
              <w:top w:val="single" w:sz="4" w:space="0" w:color="2E75B6"/>
              <w:left w:val="single" w:sz="4" w:space="0" w:color="2E75B6"/>
              <w:bottom w:val="single" w:sz="4" w:space="0" w:color="2E75B6"/>
              <w:right w:val="single" w:sz="4" w:space="0" w:color="2E75B6"/>
            </w:tcBorders>
            <w:shd w:val="clear" w:color="auto" w:fill="7F3F00"/>
            <w:tcMar>
              <w:top w:w="120" w:type="dxa"/>
              <w:left w:w="180" w:type="dxa"/>
              <w:bottom w:w="120" w:type="dxa"/>
              <w:right w:w="180" w:type="dxa"/>
            </w:tcMar>
            <w:vAlign w:val="center"/>
          </w:tcPr>
          <w:p w14:paraId="68FE0023" w14:textId="77777777" w:rsidR="007346A1" w:rsidRDefault="00000000">
            <w:pPr>
              <w:jc w:val="center"/>
            </w:pPr>
            <w:r>
              <w:rPr>
                <w:b/>
                <w:bCs/>
                <w:color w:val="FFFFFF"/>
                <w:sz w:val="26"/>
                <w:szCs w:val="26"/>
              </w:rPr>
              <w:t>THREATS</w:t>
            </w:r>
          </w:p>
        </w:tc>
      </w:tr>
      <w:tr w:rsidR="007346A1" w14:paraId="53379EF6" w14:textId="77777777" w:rsidTr="004D2695">
        <w:tblPrEx>
          <w:tblCellMar>
            <w:top w:w="0" w:type="dxa"/>
            <w:bottom w:w="0" w:type="dxa"/>
          </w:tblCellMar>
        </w:tblPrEx>
        <w:trPr>
          <w:jc w:val="center"/>
        </w:trPr>
        <w:tc>
          <w:tcPr>
            <w:tcW w:w="4680" w:type="dxa"/>
            <w:tcBorders>
              <w:top w:val="single" w:sz="4" w:space="0" w:color="2E75B6"/>
              <w:left w:val="single" w:sz="4" w:space="0" w:color="2E75B6"/>
              <w:bottom w:val="single" w:sz="4" w:space="0" w:color="2E75B6"/>
              <w:right w:val="single" w:sz="4" w:space="0" w:color="2E75B6"/>
            </w:tcBorders>
            <w:shd w:val="clear" w:color="auto" w:fill="EBF5EB"/>
            <w:tcMar>
              <w:top w:w="120" w:type="dxa"/>
              <w:left w:w="180" w:type="dxa"/>
              <w:bottom w:w="120" w:type="dxa"/>
              <w:right w:w="180" w:type="dxa"/>
            </w:tcMar>
          </w:tcPr>
          <w:p w14:paraId="0040CA1D" w14:textId="6C6CA589" w:rsidR="0001291A" w:rsidRDefault="002250DE" w:rsidP="0047202A">
            <w:pPr>
              <w:jc w:val="both"/>
            </w:pPr>
            <w:r>
              <w:rPr>
                <w:rFonts w:hAnsi="Symbol"/>
              </w:rPr>
              <w:t></w:t>
            </w:r>
            <w:r>
              <w:t xml:space="preserve"> The</w:t>
            </w:r>
            <w:r w:rsidR="0001291A">
              <w:t xml:space="preserve"> global e-learning market is projected to exceed $600 billion by 2030, driven by growing demand for flexible, self-paced learning among working professionals.</w:t>
            </w:r>
          </w:p>
          <w:p w14:paraId="50966192" w14:textId="5C5B0189" w:rsidR="0001291A" w:rsidRDefault="002250DE" w:rsidP="0047202A">
            <w:pPr>
              <w:jc w:val="both"/>
            </w:pPr>
            <w:r>
              <w:rPr>
                <w:rFonts w:hAnsi="Symbol"/>
              </w:rPr>
              <w:t></w:t>
            </w:r>
            <w:r>
              <w:t xml:space="preserve"> Companies</w:t>
            </w:r>
            <w:r w:rsidR="0001291A">
              <w:t xml:space="preserve"> are increasingly investing in employee upskilling, creating a B2B opportunity for Netflix to offer corporate learning solutions.</w:t>
            </w:r>
          </w:p>
          <w:p w14:paraId="30C39511" w14:textId="2E5332AC" w:rsidR="007346A1" w:rsidRDefault="002250DE" w:rsidP="0047202A">
            <w:pPr>
              <w:jc w:val="both"/>
            </w:pPr>
            <w:r>
              <w:rPr>
                <w:rFonts w:hAnsi="Symbol"/>
              </w:rPr>
              <w:t></w:t>
            </w:r>
            <w:r>
              <w:rPr>
                <w:rFonts w:hAnsi="Symbol"/>
              </w:rPr>
              <w:t xml:space="preserve"> </w:t>
            </w:r>
            <w:r>
              <w:t>Partnerships</w:t>
            </w:r>
            <w:r w:rsidR="0001291A">
              <w:t xml:space="preserve"> with universities and professional organizations could allow Netflix to offer accredited micro-credentials, a gap the current streaming education market has yet to fill.</w:t>
            </w:r>
          </w:p>
        </w:tc>
        <w:tc>
          <w:tcPr>
            <w:tcW w:w="4680" w:type="dxa"/>
            <w:tcBorders>
              <w:top w:val="single" w:sz="4" w:space="0" w:color="2E75B6"/>
              <w:left w:val="single" w:sz="4" w:space="0" w:color="2E75B6"/>
              <w:bottom w:val="single" w:sz="4" w:space="0" w:color="2E75B6"/>
              <w:right w:val="single" w:sz="4" w:space="0" w:color="2E75B6"/>
            </w:tcBorders>
            <w:shd w:val="clear" w:color="auto" w:fill="FEF3E2"/>
            <w:tcMar>
              <w:top w:w="120" w:type="dxa"/>
              <w:left w:w="180" w:type="dxa"/>
              <w:bottom w:w="120" w:type="dxa"/>
              <w:right w:w="180" w:type="dxa"/>
            </w:tcMar>
          </w:tcPr>
          <w:p w14:paraId="03C76C5B" w14:textId="5FF12C89" w:rsidR="0001291A" w:rsidRDefault="002250DE" w:rsidP="0047202A">
            <w:pPr>
              <w:jc w:val="both"/>
            </w:pPr>
            <w:r>
              <w:rPr>
                <w:rFonts w:hAnsi="Symbol"/>
              </w:rPr>
              <w:t></w:t>
            </w:r>
            <w:r>
              <w:t xml:space="preserve"> Established</w:t>
            </w:r>
            <w:r w:rsidR="0001291A">
              <w:t xml:space="preserve"> platforms such as Coursera, LinkedIn Learning, and Udemy hold strong market positions with years of academic partnerships and credentialing infrastructure that Netflix does not yet have.</w:t>
            </w:r>
          </w:p>
          <w:p w14:paraId="14949E73" w14:textId="02D036EF" w:rsidR="0001291A" w:rsidRDefault="002250DE" w:rsidP="0047202A">
            <w:pPr>
              <w:jc w:val="both"/>
            </w:pPr>
            <w:r>
              <w:rPr>
                <w:rFonts w:hAnsi="Symbol"/>
              </w:rPr>
              <w:t></w:t>
            </w:r>
            <w:r>
              <w:t xml:space="preserve"> Educational</w:t>
            </w:r>
            <w:r w:rsidR="0001291A">
              <w:t xml:space="preserve"> regulations vary significantly across countries, exposing Netflix to complex compliance challenges when entering new markets.</w:t>
            </w:r>
          </w:p>
          <w:p w14:paraId="5CB2D238" w14:textId="46EFECD2" w:rsidR="007346A1" w:rsidRDefault="002250DE" w:rsidP="0047202A">
            <w:pPr>
              <w:jc w:val="both"/>
            </w:pPr>
            <w:r>
              <w:rPr>
                <w:rFonts w:hAnsi="Symbol"/>
              </w:rPr>
              <w:t></w:t>
            </w:r>
            <w:r>
              <w:t xml:space="preserve"> Student</w:t>
            </w:r>
            <w:r w:rsidR="0001291A">
              <w:t xml:space="preserve"> data is subject to strict privacy regulations such as FERPA in the U.S. and GDPR in Europe, requiring substantial investment in data governance and cybersecurity infrastructure that goes beyond Netflix's current entertainment-focused systems.</w:t>
            </w:r>
          </w:p>
        </w:tc>
      </w:tr>
    </w:tbl>
    <w:p w14:paraId="41ED49DA" w14:textId="77777777" w:rsidR="00D33192" w:rsidRPr="00512FF4" w:rsidRDefault="00D33192" w:rsidP="00512FF4">
      <w:pPr>
        <w:spacing w:line="276" w:lineRule="auto"/>
        <w:jc w:val="both"/>
        <w:rPr>
          <w:b/>
          <w:bCs/>
        </w:rPr>
      </w:pPr>
    </w:p>
    <w:p w14:paraId="703173E8" w14:textId="77777777" w:rsidR="00D33192" w:rsidRPr="00512FF4" w:rsidRDefault="00D33192" w:rsidP="00512FF4">
      <w:pPr>
        <w:spacing w:line="276" w:lineRule="auto"/>
        <w:jc w:val="both"/>
        <w:rPr>
          <w:b/>
          <w:bCs/>
        </w:rPr>
      </w:pPr>
    </w:p>
    <w:p w14:paraId="05E28A49" w14:textId="77777777" w:rsidR="00D33192" w:rsidRPr="00512FF4" w:rsidRDefault="00D33192" w:rsidP="00512FF4">
      <w:pPr>
        <w:pStyle w:val="font-claude-response-body"/>
        <w:spacing w:before="0" w:beforeAutospacing="0" w:after="0" w:afterAutospacing="0" w:line="276" w:lineRule="auto"/>
        <w:jc w:val="both"/>
        <w:rPr>
          <w:rStyle w:val="Strong"/>
          <w:rFonts w:ascii="Arial" w:hAnsi="Arial" w:cs="Arial"/>
          <w:color w:val="000000"/>
          <w:sz w:val="28"/>
          <w:szCs w:val="28"/>
        </w:rPr>
      </w:pPr>
      <w:r w:rsidRPr="00512FF4">
        <w:rPr>
          <w:rStyle w:val="Strong"/>
          <w:rFonts w:ascii="Arial" w:hAnsi="Arial" w:cs="Arial"/>
          <w:color w:val="000000"/>
          <w:sz w:val="28"/>
          <w:szCs w:val="28"/>
        </w:rPr>
        <w:t>Risk Identification Approach</w:t>
      </w:r>
    </w:p>
    <w:p w14:paraId="5E38AC01" w14:textId="77777777" w:rsidR="00D33192" w:rsidRPr="00512FF4" w:rsidRDefault="00D33192" w:rsidP="00512FF4">
      <w:pPr>
        <w:pStyle w:val="font-claude-response-body"/>
        <w:spacing w:before="0" w:beforeAutospacing="0" w:after="0" w:afterAutospacing="0" w:line="276" w:lineRule="auto"/>
        <w:jc w:val="both"/>
        <w:rPr>
          <w:rFonts w:ascii="Arial" w:hAnsi="Arial" w:cs="Arial"/>
          <w:color w:val="000000"/>
          <w:sz w:val="22"/>
          <w:szCs w:val="22"/>
        </w:rPr>
      </w:pPr>
    </w:p>
    <w:p w14:paraId="20672E7E" w14:textId="21B5D6E5" w:rsidR="00D33192" w:rsidRPr="00512FF4" w:rsidRDefault="0001291A" w:rsidP="00512FF4">
      <w:pPr>
        <w:spacing w:line="276" w:lineRule="auto"/>
        <w:jc w:val="both"/>
        <w:rPr>
          <w:b/>
          <w:bCs/>
        </w:rPr>
      </w:pPr>
      <w:r w:rsidRPr="00512FF4">
        <w:rPr>
          <w:color w:val="000000"/>
        </w:rPr>
        <w:t xml:space="preserve">To identify the risks underlying this business plan, a brainstorming approach was applied across Netflix's key operational dimensions, including people, processes, technology, facilities, and external market conditions. This allowed for a wide-ranging exploration of both internal vulnerabilities and external threats, which were then structured within the SWOT framework using </w:t>
      </w:r>
      <w:r w:rsidRPr="00015AAD">
        <w:rPr>
          <w:color w:val="000000"/>
        </w:rPr>
        <w:t xml:space="preserve">an </w:t>
      </w:r>
      <w:r w:rsidR="00015AAD" w:rsidRPr="00015AAD">
        <w:rPr>
          <w:color w:val="000000"/>
        </w:rPr>
        <w:t>Enterprise Risk Management</w:t>
      </w:r>
      <w:r w:rsidR="00015AAD">
        <w:rPr>
          <w:rFonts w:ascii="-webkit-standard" w:hAnsi="-webkit-standard"/>
          <w:color w:val="000000"/>
          <w:sz w:val="27"/>
          <w:szCs w:val="27"/>
        </w:rPr>
        <w:t xml:space="preserve"> </w:t>
      </w:r>
      <w:r w:rsidRPr="00512FF4">
        <w:rPr>
          <w:color w:val="000000"/>
        </w:rPr>
        <w:t xml:space="preserve">lens. The analysis drew on Netflix's current capabilities, the competitive landscape of online education, regulatory </w:t>
      </w:r>
      <w:r w:rsidRPr="00512FF4">
        <w:rPr>
          <w:color w:val="000000"/>
        </w:rPr>
        <w:lastRenderedPageBreak/>
        <w:t>considerations, and the operational challenges of entering a market fundamentally different from entertainment streaming.</w:t>
      </w:r>
    </w:p>
    <w:p w14:paraId="197DBBB2" w14:textId="77777777" w:rsidR="00D33192" w:rsidRPr="00512FF4" w:rsidRDefault="00D33192" w:rsidP="00512FF4">
      <w:pPr>
        <w:spacing w:line="276" w:lineRule="auto"/>
        <w:jc w:val="both"/>
        <w:rPr>
          <w:b/>
          <w:bCs/>
        </w:rPr>
      </w:pPr>
    </w:p>
    <w:p w14:paraId="25A7EB8A" w14:textId="59FC5F9F" w:rsidR="007346A1" w:rsidRPr="00491BCA" w:rsidRDefault="00000000" w:rsidP="00512FF4">
      <w:pPr>
        <w:spacing w:line="276" w:lineRule="auto"/>
        <w:jc w:val="both"/>
        <w:rPr>
          <w:b/>
          <w:bCs/>
          <w:sz w:val="28"/>
          <w:szCs w:val="28"/>
        </w:rPr>
      </w:pPr>
      <w:r w:rsidRPr="00491BCA">
        <w:rPr>
          <w:b/>
          <w:bCs/>
          <w:sz w:val="28"/>
          <w:szCs w:val="28"/>
        </w:rPr>
        <w:t>Key Risk Indicators (KRIs)</w:t>
      </w:r>
    </w:p>
    <w:p w14:paraId="512DE2BA" w14:textId="77777777" w:rsidR="00D33192" w:rsidRPr="00512FF4" w:rsidRDefault="00D33192" w:rsidP="00512FF4">
      <w:pPr>
        <w:spacing w:line="276" w:lineRule="auto"/>
        <w:jc w:val="both"/>
      </w:pPr>
    </w:p>
    <w:p w14:paraId="3603DA29" w14:textId="77777777" w:rsidR="007346A1" w:rsidRPr="00512FF4" w:rsidRDefault="00000000" w:rsidP="00512FF4">
      <w:pPr>
        <w:spacing w:line="276" w:lineRule="auto"/>
        <w:jc w:val="both"/>
      </w:pPr>
      <w:r w:rsidRPr="00512FF4">
        <w:t>The following KRIs have been developed in relation to Netflix's people, processes, technology, facilities, and other critical operational elements associated with the expansion into online education:</w:t>
      </w:r>
    </w:p>
    <w:p w14:paraId="49760CD9" w14:textId="77777777" w:rsidR="00300ED0" w:rsidRPr="00512FF4" w:rsidRDefault="00300ED0" w:rsidP="00512FF4">
      <w:pPr>
        <w:spacing w:line="276" w:lineRule="auto"/>
        <w:jc w:val="both"/>
      </w:pPr>
    </w:p>
    <w:p w14:paraId="7865C48D" w14:textId="1C301106" w:rsidR="00D33192" w:rsidRPr="00512FF4" w:rsidRDefault="00000000" w:rsidP="00F74A07">
      <w:pPr>
        <w:pStyle w:val="ListParagraph"/>
        <w:numPr>
          <w:ilvl w:val="0"/>
          <w:numId w:val="2"/>
        </w:numPr>
        <w:spacing w:line="276" w:lineRule="auto"/>
        <w:jc w:val="both"/>
      </w:pPr>
      <w:r w:rsidRPr="00F74A07">
        <w:rPr>
          <w:b/>
          <w:bCs/>
          <w:sz w:val="24"/>
          <w:szCs w:val="24"/>
        </w:rPr>
        <w:t>People</w:t>
      </w:r>
    </w:p>
    <w:p w14:paraId="32C71F12" w14:textId="3A6D5D40" w:rsidR="00512FF4" w:rsidRDefault="00491BCA" w:rsidP="00512FF4">
      <w:pPr>
        <w:spacing w:line="276" w:lineRule="auto"/>
        <w:jc w:val="both"/>
        <w:rPr>
          <w:rFonts w:eastAsia="Times New Roman"/>
        </w:rPr>
      </w:pPr>
      <w:r>
        <w:rPr>
          <w:rFonts w:eastAsia="Times New Roman"/>
        </w:rPr>
        <w:tab/>
      </w:r>
      <w:r w:rsidR="0001291A" w:rsidRPr="00491BCA">
        <w:rPr>
          <w:rFonts w:eastAsia="Times New Roman"/>
          <w:b/>
          <w:bCs/>
        </w:rPr>
        <w:t>KRI 1:</w:t>
      </w:r>
      <w:r w:rsidR="0001291A" w:rsidRPr="00512FF4">
        <w:rPr>
          <w:rFonts w:eastAsia="Times New Roman"/>
        </w:rPr>
        <w:t xml:space="preserve"> Employee attrition rate within the newly formed education division (target: below 10% annually)</w:t>
      </w:r>
      <w:r>
        <w:rPr>
          <w:rFonts w:eastAsia="Times New Roman"/>
        </w:rPr>
        <w:t>.</w:t>
      </w:r>
    </w:p>
    <w:p w14:paraId="6D23A6D8" w14:textId="46AD381B" w:rsidR="00D33192" w:rsidRDefault="00491BCA" w:rsidP="00512FF4">
      <w:pPr>
        <w:spacing w:line="276" w:lineRule="auto"/>
        <w:jc w:val="both"/>
        <w:rPr>
          <w:rFonts w:eastAsia="Times New Roman"/>
        </w:rPr>
      </w:pPr>
      <w:r>
        <w:rPr>
          <w:rFonts w:eastAsia="Times New Roman"/>
        </w:rPr>
        <w:tab/>
      </w:r>
      <w:r w:rsidR="0001291A" w:rsidRPr="00491BCA">
        <w:rPr>
          <w:rFonts w:eastAsia="Times New Roman"/>
          <w:b/>
          <w:bCs/>
        </w:rPr>
        <w:t>KRI 2:</w:t>
      </w:r>
      <w:r w:rsidR="0001291A" w:rsidRPr="00512FF4">
        <w:rPr>
          <w:rFonts w:eastAsia="Times New Roman"/>
        </w:rPr>
        <w:t xml:space="preserve"> Percentage of education team staff with relevant </w:t>
      </w:r>
      <w:r w:rsidR="00397E09" w:rsidRPr="00397E09">
        <w:rPr>
          <w:rFonts w:eastAsia="Times New Roman"/>
        </w:rPr>
        <w:t>“</w:t>
      </w:r>
      <w:r w:rsidR="00397E09" w:rsidRPr="00397E09">
        <w:rPr>
          <w:color w:val="000000"/>
        </w:rPr>
        <w:t>Educational Technology</w:t>
      </w:r>
      <w:r w:rsidR="00397E09" w:rsidRPr="00397E09">
        <w:rPr>
          <w:color w:val="000000"/>
        </w:rPr>
        <w:t>”</w:t>
      </w:r>
      <w:r w:rsidR="0001291A" w:rsidRPr="00512FF4">
        <w:rPr>
          <w:rFonts w:eastAsia="Times New Roman"/>
        </w:rPr>
        <w:t xml:space="preserve"> expertise</w:t>
      </w:r>
      <w:r>
        <w:rPr>
          <w:rFonts w:eastAsia="Times New Roman"/>
        </w:rPr>
        <w:t>.</w:t>
      </w:r>
    </w:p>
    <w:p w14:paraId="3C6DD452" w14:textId="77777777" w:rsidR="00512FF4" w:rsidRPr="00512FF4" w:rsidRDefault="00512FF4" w:rsidP="00512FF4">
      <w:pPr>
        <w:spacing w:line="276" w:lineRule="auto"/>
        <w:jc w:val="both"/>
        <w:rPr>
          <w:rFonts w:eastAsia="Times New Roman"/>
        </w:rPr>
      </w:pPr>
    </w:p>
    <w:p w14:paraId="120760E9" w14:textId="7B09E440" w:rsidR="00D33192" w:rsidRPr="00512FF4" w:rsidRDefault="00000000" w:rsidP="00F74A07">
      <w:pPr>
        <w:pStyle w:val="ListParagraph"/>
        <w:numPr>
          <w:ilvl w:val="0"/>
          <w:numId w:val="2"/>
        </w:numPr>
        <w:spacing w:line="276" w:lineRule="auto"/>
        <w:jc w:val="both"/>
      </w:pPr>
      <w:r w:rsidRPr="00F74A07">
        <w:rPr>
          <w:b/>
          <w:bCs/>
          <w:sz w:val="24"/>
          <w:szCs w:val="24"/>
        </w:rPr>
        <w:t>Processes</w:t>
      </w:r>
    </w:p>
    <w:p w14:paraId="2F0F012B" w14:textId="4622C5EF" w:rsidR="00512FF4" w:rsidRDefault="00491BCA" w:rsidP="00512FF4">
      <w:pPr>
        <w:spacing w:line="276" w:lineRule="auto"/>
        <w:jc w:val="both"/>
        <w:rPr>
          <w:rFonts w:eastAsia="Times New Roman"/>
        </w:rPr>
      </w:pPr>
      <w:r>
        <w:rPr>
          <w:rFonts w:eastAsia="Times New Roman"/>
        </w:rPr>
        <w:tab/>
      </w:r>
      <w:r w:rsidR="0001291A" w:rsidRPr="00491BCA">
        <w:rPr>
          <w:rFonts w:eastAsia="Times New Roman"/>
          <w:b/>
          <w:bCs/>
        </w:rPr>
        <w:t>KRI 3:</w:t>
      </w:r>
      <w:r w:rsidR="0001291A" w:rsidRPr="00512FF4">
        <w:rPr>
          <w:rFonts w:eastAsia="Times New Roman"/>
        </w:rPr>
        <w:t xml:space="preserve"> Number of compliance violations related to educational content standards per quarter</w:t>
      </w:r>
      <w:r>
        <w:rPr>
          <w:rFonts w:eastAsia="Times New Roman"/>
        </w:rPr>
        <w:t>.</w:t>
      </w:r>
    </w:p>
    <w:p w14:paraId="5BBC0F9C" w14:textId="3F104362" w:rsidR="00D33192" w:rsidRPr="00512FF4" w:rsidRDefault="00491BCA" w:rsidP="00512FF4">
      <w:pPr>
        <w:spacing w:line="276" w:lineRule="auto"/>
        <w:jc w:val="both"/>
        <w:rPr>
          <w:rFonts w:eastAsia="Times New Roman"/>
        </w:rPr>
      </w:pPr>
      <w:r>
        <w:rPr>
          <w:rFonts w:eastAsia="Times New Roman"/>
        </w:rPr>
        <w:tab/>
      </w:r>
      <w:r w:rsidR="0001291A" w:rsidRPr="00491BCA">
        <w:rPr>
          <w:rFonts w:eastAsia="Times New Roman"/>
          <w:b/>
          <w:bCs/>
        </w:rPr>
        <w:t>KRI 4:</w:t>
      </w:r>
      <w:r w:rsidR="0001291A" w:rsidRPr="00512FF4">
        <w:rPr>
          <w:rFonts w:eastAsia="Times New Roman"/>
        </w:rPr>
        <w:t xml:space="preserve"> Average time from course development to publication, measured against defined SLA</w:t>
      </w:r>
      <w:r>
        <w:rPr>
          <w:rFonts w:eastAsia="Times New Roman"/>
        </w:rPr>
        <w:t>.</w:t>
      </w:r>
    </w:p>
    <w:p w14:paraId="7DDC9772" w14:textId="77777777" w:rsidR="0001291A" w:rsidRPr="00512FF4" w:rsidRDefault="0001291A" w:rsidP="00512FF4">
      <w:pPr>
        <w:spacing w:line="276" w:lineRule="auto"/>
        <w:ind w:left="360"/>
        <w:jc w:val="both"/>
      </w:pPr>
    </w:p>
    <w:p w14:paraId="670AA779" w14:textId="4586599F" w:rsidR="00D33192" w:rsidRPr="00512FF4" w:rsidRDefault="00000000" w:rsidP="00F74A07">
      <w:pPr>
        <w:pStyle w:val="ListParagraph"/>
        <w:numPr>
          <w:ilvl w:val="0"/>
          <w:numId w:val="2"/>
        </w:numPr>
        <w:spacing w:line="276" w:lineRule="auto"/>
        <w:jc w:val="both"/>
      </w:pPr>
      <w:r w:rsidRPr="00F74A07">
        <w:rPr>
          <w:b/>
          <w:bCs/>
          <w:sz w:val="24"/>
          <w:szCs w:val="24"/>
        </w:rPr>
        <w:t>Technology &amp; Information Security</w:t>
      </w:r>
    </w:p>
    <w:p w14:paraId="2E69E36F" w14:textId="09CA8218" w:rsidR="0001291A" w:rsidRPr="00512FF4" w:rsidRDefault="00491BCA" w:rsidP="00512FF4">
      <w:pPr>
        <w:spacing w:line="276" w:lineRule="auto"/>
        <w:jc w:val="both"/>
        <w:rPr>
          <w:rFonts w:eastAsia="Times New Roman"/>
        </w:rPr>
      </w:pPr>
      <w:r>
        <w:rPr>
          <w:rFonts w:eastAsia="Times New Roman"/>
        </w:rPr>
        <w:tab/>
      </w:r>
      <w:r w:rsidR="0001291A" w:rsidRPr="00491BCA">
        <w:rPr>
          <w:rFonts w:eastAsia="Times New Roman"/>
          <w:b/>
          <w:bCs/>
        </w:rPr>
        <w:t>KRI 5:</w:t>
      </w:r>
      <w:r w:rsidR="0001291A" w:rsidRPr="00512FF4">
        <w:rPr>
          <w:rFonts w:eastAsia="Times New Roman"/>
        </w:rPr>
        <w:t xml:space="preserve"> Number of data security incidents involving learner personal data per quarter</w:t>
      </w:r>
      <w:r>
        <w:rPr>
          <w:rFonts w:eastAsia="Times New Roman"/>
        </w:rPr>
        <w:t>.</w:t>
      </w:r>
    </w:p>
    <w:p w14:paraId="35787F3F" w14:textId="6DF5CD1B" w:rsidR="00512FF4" w:rsidRDefault="00491BCA" w:rsidP="00512FF4">
      <w:pPr>
        <w:spacing w:line="276" w:lineRule="auto"/>
        <w:jc w:val="both"/>
        <w:rPr>
          <w:rFonts w:eastAsia="Times New Roman"/>
        </w:rPr>
      </w:pPr>
      <w:r>
        <w:rPr>
          <w:rFonts w:eastAsia="Times New Roman"/>
        </w:rPr>
        <w:tab/>
      </w:r>
      <w:r w:rsidR="0001291A" w:rsidRPr="00491BCA">
        <w:rPr>
          <w:rFonts w:eastAsia="Times New Roman"/>
          <w:b/>
          <w:bCs/>
        </w:rPr>
        <w:t>KRI 6:</w:t>
      </w:r>
      <w:r w:rsidR="0001291A" w:rsidRPr="00512FF4">
        <w:rPr>
          <w:rFonts w:eastAsia="Times New Roman"/>
        </w:rPr>
        <w:t xml:space="preserve"> Platform uptime percentage for educational services (target: 99.9%)</w:t>
      </w:r>
      <w:r>
        <w:rPr>
          <w:rFonts w:eastAsia="Times New Roman"/>
        </w:rPr>
        <w:t>.</w:t>
      </w:r>
    </w:p>
    <w:p w14:paraId="722A8EA9" w14:textId="38ED7ACE" w:rsidR="00D33192" w:rsidRPr="00512FF4" w:rsidRDefault="00491BCA" w:rsidP="00512FF4">
      <w:pPr>
        <w:spacing w:line="276" w:lineRule="auto"/>
        <w:jc w:val="both"/>
        <w:rPr>
          <w:rFonts w:eastAsia="Times New Roman"/>
        </w:rPr>
      </w:pPr>
      <w:r>
        <w:rPr>
          <w:rFonts w:eastAsia="Times New Roman"/>
        </w:rPr>
        <w:tab/>
      </w:r>
      <w:r w:rsidR="0001291A" w:rsidRPr="00491BCA">
        <w:rPr>
          <w:rFonts w:eastAsia="Times New Roman"/>
          <w:b/>
          <w:bCs/>
        </w:rPr>
        <w:t>KRI 7:</w:t>
      </w:r>
      <w:r w:rsidR="0001291A" w:rsidRPr="00512FF4">
        <w:rPr>
          <w:rFonts w:eastAsia="Times New Roman"/>
        </w:rPr>
        <w:t xml:space="preserve"> Percentage of systems compliant with GDPR and FERPA data privacy requirements</w:t>
      </w:r>
      <w:r>
        <w:rPr>
          <w:rFonts w:eastAsia="Times New Roman"/>
        </w:rPr>
        <w:t>.</w:t>
      </w:r>
    </w:p>
    <w:p w14:paraId="016CB302" w14:textId="77777777" w:rsidR="0001291A" w:rsidRPr="00512FF4" w:rsidRDefault="0001291A" w:rsidP="00512FF4">
      <w:pPr>
        <w:spacing w:line="276" w:lineRule="auto"/>
        <w:ind w:left="360"/>
        <w:jc w:val="both"/>
      </w:pPr>
    </w:p>
    <w:p w14:paraId="243D76D3" w14:textId="4E28F1AB" w:rsidR="00D33192" w:rsidRPr="00512FF4" w:rsidRDefault="00000000" w:rsidP="00F74A07">
      <w:pPr>
        <w:pStyle w:val="ListParagraph"/>
        <w:numPr>
          <w:ilvl w:val="0"/>
          <w:numId w:val="2"/>
        </w:numPr>
        <w:spacing w:line="276" w:lineRule="auto"/>
        <w:jc w:val="both"/>
      </w:pPr>
      <w:r w:rsidRPr="00F74A07">
        <w:rPr>
          <w:b/>
          <w:bCs/>
          <w:sz w:val="24"/>
          <w:szCs w:val="24"/>
        </w:rPr>
        <w:t>Financial</w:t>
      </w:r>
    </w:p>
    <w:p w14:paraId="70A932BD" w14:textId="6D04A879" w:rsidR="00512FF4" w:rsidRDefault="00491BCA" w:rsidP="00512FF4">
      <w:pPr>
        <w:spacing w:line="276" w:lineRule="auto"/>
        <w:jc w:val="both"/>
        <w:rPr>
          <w:rFonts w:eastAsia="Times New Roman"/>
        </w:rPr>
      </w:pPr>
      <w:r>
        <w:rPr>
          <w:rFonts w:eastAsia="Times New Roman"/>
        </w:rPr>
        <w:tab/>
      </w:r>
      <w:r w:rsidR="0001291A" w:rsidRPr="00491BCA">
        <w:rPr>
          <w:rFonts w:eastAsia="Times New Roman"/>
          <w:b/>
          <w:bCs/>
        </w:rPr>
        <w:t>KRI 8:</w:t>
      </w:r>
      <w:r w:rsidR="0001291A" w:rsidRPr="00512FF4">
        <w:rPr>
          <w:rFonts w:eastAsia="Times New Roman"/>
        </w:rPr>
        <w:t xml:space="preserve"> Return on investment (ROI) for the education division within 24 months of launch</w:t>
      </w:r>
      <w:r>
        <w:rPr>
          <w:rFonts w:eastAsia="Times New Roman"/>
        </w:rPr>
        <w:t>.</w:t>
      </w:r>
    </w:p>
    <w:p w14:paraId="5D7731F7" w14:textId="4926B543" w:rsidR="00300ED0" w:rsidRDefault="00491BCA" w:rsidP="00512FF4">
      <w:pPr>
        <w:spacing w:line="276" w:lineRule="auto"/>
        <w:jc w:val="both"/>
        <w:rPr>
          <w:rFonts w:eastAsia="Times New Roman"/>
        </w:rPr>
      </w:pPr>
      <w:r>
        <w:rPr>
          <w:rFonts w:eastAsia="Times New Roman"/>
        </w:rPr>
        <w:tab/>
      </w:r>
      <w:r w:rsidR="0001291A" w:rsidRPr="00491BCA">
        <w:rPr>
          <w:rFonts w:eastAsia="Times New Roman"/>
          <w:b/>
          <w:bCs/>
        </w:rPr>
        <w:t>KRI 9:</w:t>
      </w:r>
      <w:r w:rsidR="0001291A" w:rsidRPr="00512FF4">
        <w:rPr>
          <w:rFonts w:eastAsia="Times New Roman"/>
        </w:rPr>
        <w:t xml:space="preserve"> Monthly churn rate among education subscribers (target: below 5%)</w:t>
      </w:r>
      <w:r>
        <w:rPr>
          <w:rFonts w:eastAsia="Times New Roman"/>
        </w:rPr>
        <w:t>.</w:t>
      </w:r>
    </w:p>
    <w:p w14:paraId="6DD463F2" w14:textId="77777777" w:rsidR="00B72156" w:rsidRPr="00512FF4" w:rsidRDefault="00B72156" w:rsidP="00512FF4">
      <w:pPr>
        <w:spacing w:line="276" w:lineRule="auto"/>
        <w:jc w:val="both"/>
        <w:rPr>
          <w:rFonts w:eastAsia="Times New Roman"/>
        </w:rPr>
      </w:pPr>
    </w:p>
    <w:p w14:paraId="31832419" w14:textId="0F0CA342" w:rsidR="00B72156" w:rsidRDefault="00300ED0" w:rsidP="00F74A07">
      <w:pPr>
        <w:pStyle w:val="font-claude-response-body"/>
        <w:numPr>
          <w:ilvl w:val="0"/>
          <w:numId w:val="2"/>
        </w:numPr>
        <w:spacing w:before="0" w:beforeAutospacing="0" w:after="0" w:afterAutospacing="0" w:line="276" w:lineRule="auto"/>
        <w:jc w:val="both"/>
        <w:rPr>
          <w:rStyle w:val="Strong"/>
          <w:rFonts w:ascii="Arial" w:hAnsi="Arial" w:cs="Arial"/>
          <w:color w:val="000000"/>
        </w:rPr>
      </w:pPr>
      <w:r w:rsidRPr="00491BCA">
        <w:rPr>
          <w:rStyle w:val="Strong"/>
          <w:rFonts w:ascii="Arial" w:hAnsi="Arial" w:cs="Arial"/>
          <w:color w:val="000000"/>
        </w:rPr>
        <w:t>Facilities</w:t>
      </w:r>
    </w:p>
    <w:p w14:paraId="54BC2A1B" w14:textId="4EE0E102" w:rsidR="00300ED0" w:rsidRPr="00512FF4" w:rsidRDefault="00F74A07" w:rsidP="00B72156">
      <w:pPr>
        <w:pStyle w:val="font-claude-response-body"/>
        <w:spacing w:before="0" w:beforeAutospacing="0" w:after="0" w:afterAutospacing="0" w:line="276" w:lineRule="auto"/>
        <w:jc w:val="both"/>
        <w:rPr>
          <w:rFonts w:ascii="Arial" w:hAnsi="Arial" w:cs="Arial"/>
          <w:color w:val="000000"/>
          <w:sz w:val="22"/>
          <w:szCs w:val="22"/>
        </w:rPr>
      </w:pPr>
      <w:r>
        <w:rPr>
          <w:rFonts w:ascii="Arial" w:hAnsi="Arial" w:cs="Arial"/>
          <w:color w:val="000000"/>
          <w:sz w:val="22"/>
          <w:szCs w:val="22"/>
        </w:rPr>
        <w:tab/>
      </w:r>
      <w:r w:rsidR="0001291A" w:rsidRPr="00512FF4">
        <w:rPr>
          <w:rFonts w:ascii="Arial" w:hAnsi="Arial" w:cs="Arial"/>
          <w:color w:val="000000"/>
          <w:sz w:val="22"/>
          <w:szCs w:val="22"/>
        </w:rPr>
        <w:t>Given Netflix's fully digital business model, traditional physical facilities risk does not apply. Data center availability and infrastructure reliability are captured under the Technology &amp; Information Security KRIs above.</w:t>
      </w:r>
    </w:p>
    <w:p w14:paraId="0E3D5E21" w14:textId="77777777" w:rsidR="0001291A" w:rsidRDefault="0001291A" w:rsidP="00512FF4">
      <w:pPr>
        <w:spacing w:line="276" w:lineRule="auto"/>
        <w:ind w:left="360"/>
        <w:jc w:val="both"/>
      </w:pPr>
    </w:p>
    <w:p w14:paraId="36F03234" w14:textId="77777777" w:rsidR="00F74A07" w:rsidRPr="00512FF4" w:rsidRDefault="00F74A07" w:rsidP="00512FF4">
      <w:pPr>
        <w:spacing w:line="276" w:lineRule="auto"/>
        <w:ind w:left="360"/>
        <w:jc w:val="both"/>
      </w:pPr>
    </w:p>
    <w:p w14:paraId="0A43F336" w14:textId="77777777" w:rsidR="007346A1" w:rsidRPr="00491BCA" w:rsidRDefault="00000000" w:rsidP="00512FF4">
      <w:pPr>
        <w:spacing w:line="276" w:lineRule="auto"/>
        <w:jc w:val="both"/>
        <w:rPr>
          <w:b/>
          <w:bCs/>
          <w:sz w:val="28"/>
          <w:szCs w:val="28"/>
        </w:rPr>
      </w:pPr>
      <w:r w:rsidRPr="00491BCA">
        <w:rPr>
          <w:b/>
          <w:bCs/>
          <w:sz w:val="28"/>
          <w:szCs w:val="28"/>
        </w:rPr>
        <w:t>Contributing Factors and Controls</w:t>
      </w:r>
    </w:p>
    <w:p w14:paraId="23037106" w14:textId="77777777" w:rsidR="00D33192" w:rsidRPr="00512FF4" w:rsidRDefault="00D33192" w:rsidP="00512FF4">
      <w:pPr>
        <w:spacing w:line="276" w:lineRule="auto"/>
        <w:jc w:val="both"/>
      </w:pPr>
    </w:p>
    <w:p w14:paraId="6BD614DD" w14:textId="77777777" w:rsidR="007346A1" w:rsidRPr="00512FF4" w:rsidRDefault="00000000" w:rsidP="00512FF4">
      <w:pPr>
        <w:spacing w:line="276" w:lineRule="auto"/>
        <w:jc w:val="both"/>
      </w:pPr>
      <w:r w:rsidRPr="00512FF4">
        <w:t>The following is a preliminary list of contributing factors and controls for the primary risks identified in the SWOT analysis:</w:t>
      </w:r>
    </w:p>
    <w:p w14:paraId="5053EE7F" w14:textId="77777777" w:rsidR="00D33192" w:rsidRPr="00512FF4" w:rsidRDefault="00D33192" w:rsidP="00512FF4">
      <w:pPr>
        <w:spacing w:line="276" w:lineRule="auto"/>
        <w:jc w:val="both"/>
      </w:pPr>
    </w:p>
    <w:p w14:paraId="3BC9291B" w14:textId="77777777" w:rsidR="00F74A07" w:rsidRDefault="00000000" w:rsidP="00F74A07">
      <w:pPr>
        <w:spacing w:line="276" w:lineRule="auto"/>
        <w:jc w:val="both"/>
        <w:rPr>
          <w:b/>
          <w:bCs/>
          <w:sz w:val="24"/>
          <w:szCs w:val="24"/>
        </w:rPr>
      </w:pPr>
      <w:r w:rsidRPr="008E05A9">
        <w:rPr>
          <w:b/>
          <w:bCs/>
          <w:sz w:val="24"/>
          <w:szCs w:val="24"/>
        </w:rPr>
        <w:t>Risk 1: Brand Perception Mismatch</w:t>
      </w:r>
    </w:p>
    <w:p w14:paraId="7D1598A1" w14:textId="77777777" w:rsidR="00F74A07" w:rsidRDefault="00F74A07" w:rsidP="00F74A07">
      <w:pPr>
        <w:spacing w:line="276" w:lineRule="auto"/>
        <w:jc w:val="both"/>
        <w:rPr>
          <w:b/>
          <w:bCs/>
          <w:sz w:val="24"/>
          <w:szCs w:val="24"/>
        </w:rPr>
      </w:pPr>
    </w:p>
    <w:p w14:paraId="53A372EE" w14:textId="2F3AC7F4" w:rsidR="00F74A07" w:rsidRPr="00F74A07" w:rsidRDefault="0001291A" w:rsidP="00F74A07">
      <w:pPr>
        <w:pStyle w:val="ListParagraph"/>
        <w:numPr>
          <w:ilvl w:val="0"/>
          <w:numId w:val="4"/>
        </w:numPr>
        <w:spacing w:line="276" w:lineRule="auto"/>
        <w:jc w:val="both"/>
        <w:rPr>
          <w:rFonts w:eastAsia="Times New Roman"/>
          <w:b/>
          <w:bCs/>
        </w:rPr>
      </w:pPr>
      <w:r w:rsidRPr="00F74A07">
        <w:rPr>
          <w:rFonts w:eastAsia="Times New Roman"/>
          <w:b/>
          <w:bCs/>
        </w:rPr>
        <w:t xml:space="preserve">Contributing Factors: </w:t>
      </w:r>
      <w:r w:rsidRPr="00F74A07">
        <w:rPr>
          <w:rFonts w:eastAsia="Times New Roman"/>
        </w:rPr>
        <w:t>Strong entertainment brand association; limited academic credibility; potential resistance from institutional partners</w:t>
      </w:r>
      <w:r w:rsidR="008E05A9" w:rsidRPr="00F74A07">
        <w:rPr>
          <w:rFonts w:eastAsia="Times New Roman"/>
        </w:rPr>
        <w:t>.</w:t>
      </w:r>
    </w:p>
    <w:p w14:paraId="3E6E9933" w14:textId="445D8AD2" w:rsidR="00D33192" w:rsidRPr="00F74A07" w:rsidRDefault="0001291A" w:rsidP="00F74A07">
      <w:pPr>
        <w:pStyle w:val="ListParagraph"/>
        <w:numPr>
          <w:ilvl w:val="0"/>
          <w:numId w:val="4"/>
        </w:numPr>
        <w:spacing w:line="276" w:lineRule="auto"/>
        <w:jc w:val="both"/>
        <w:rPr>
          <w:rFonts w:eastAsia="Times New Roman"/>
          <w:b/>
          <w:bCs/>
        </w:rPr>
      </w:pPr>
      <w:r w:rsidRPr="00F74A07">
        <w:rPr>
          <w:rFonts w:eastAsia="Times New Roman"/>
          <w:b/>
          <w:bCs/>
        </w:rPr>
        <w:t xml:space="preserve">Controls: </w:t>
      </w:r>
      <w:r w:rsidRPr="00F74A07">
        <w:rPr>
          <w:rFonts w:eastAsia="Times New Roman"/>
        </w:rPr>
        <w:t>Targeted marketing campaign repositioning Netflix in the education space; partnerships with recognized academic institutions; phased rollout with brand perception testing</w:t>
      </w:r>
      <w:r w:rsidR="008E05A9" w:rsidRPr="00F74A07">
        <w:rPr>
          <w:rFonts w:eastAsia="Times New Roman"/>
        </w:rPr>
        <w:t>.</w:t>
      </w:r>
    </w:p>
    <w:p w14:paraId="32F7D38A" w14:textId="77777777" w:rsidR="0001291A" w:rsidRPr="00512FF4" w:rsidRDefault="0001291A" w:rsidP="00512FF4">
      <w:pPr>
        <w:spacing w:line="276" w:lineRule="auto"/>
        <w:ind w:left="360"/>
        <w:jc w:val="both"/>
      </w:pPr>
    </w:p>
    <w:p w14:paraId="387BB2EA" w14:textId="77777777" w:rsidR="00F74A07" w:rsidRDefault="00000000" w:rsidP="00F74A07">
      <w:pPr>
        <w:spacing w:line="276" w:lineRule="auto"/>
        <w:jc w:val="both"/>
        <w:rPr>
          <w:b/>
          <w:bCs/>
          <w:sz w:val="24"/>
          <w:szCs w:val="24"/>
        </w:rPr>
      </w:pPr>
      <w:r w:rsidRPr="008E05A9">
        <w:rPr>
          <w:b/>
          <w:bCs/>
          <w:sz w:val="24"/>
          <w:szCs w:val="24"/>
        </w:rPr>
        <w:t>Risk 2: Regulatory and Compliance Exposure</w:t>
      </w:r>
    </w:p>
    <w:p w14:paraId="0FF7303C" w14:textId="77777777" w:rsidR="00F74A07" w:rsidRDefault="00F74A07" w:rsidP="00F74A07">
      <w:pPr>
        <w:spacing w:line="276" w:lineRule="auto"/>
        <w:jc w:val="both"/>
        <w:rPr>
          <w:b/>
          <w:bCs/>
          <w:sz w:val="24"/>
          <w:szCs w:val="24"/>
        </w:rPr>
      </w:pPr>
    </w:p>
    <w:p w14:paraId="4B5F807D" w14:textId="77777777" w:rsidR="00F74A07" w:rsidRPr="00F74A07" w:rsidRDefault="0001291A" w:rsidP="00F74A07">
      <w:pPr>
        <w:pStyle w:val="ListParagraph"/>
        <w:numPr>
          <w:ilvl w:val="0"/>
          <w:numId w:val="4"/>
        </w:numPr>
        <w:spacing w:line="276" w:lineRule="auto"/>
        <w:jc w:val="both"/>
        <w:rPr>
          <w:b/>
          <w:bCs/>
          <w:sz w:val="24"/>
          <w:szCs w:val="24"/>
        </w:rPr>
      </w:pPr>
      <w:r w:rsidRPr="00F74A07">
        <w:rPr>
          <w:rFonts w:eastAsia="Times New Roman"/>
          <w:b/>
          <w:bCs/>
        </w:rPr>
        <w:t>Contributing Factors</w:t>
      </w:r>
      <w:r w:rsidRPr="00F74A07">
        <w:rPr>
          <w:rFonts w:eastAsia="Times New Roman"/>
        </w:rPr>
        <w:t>: Varying educational regulations across jurisdictions; limited internal EdTech legal expertise; risk of content misclassification under educational standards</w:t>
      </w:r>
      <w:r w:rsidR="008E05A9" w:rsidRPr="00F74A07">
        <w:rPr>
          <w:rFonts w:eastAsia="Times New Roman"/>
        </w:rPr>
        <w:t>.</w:t>
      </w:r>
    </w:p>
    <w:p w14:paraId="4FBC1581" w14:textId="600F7099" w:rsidR="00D33192" w:rsidRPr="00F74A07" w:rsidRDefault="0001291A" w:rsidP="00F74A07">
      <w:pPr>
        <w:pStyle w:val="ListParagraph"/>
        <w:numPr>
          <w:ilvl w:val="0"/>
          <w:numId w:val="4"/>
        </w:numPr>
        <w:spacing w:line="276" w:lineRule="auto"/>
        <w:jc w:val="both"/>
        <w:rPr>
          <w:b/>
          <w:bCs/>
          <w:sz w:val="24"/>
          <w:szCs w:val="24"/>
        </w:rPr>
      </w:pPr>
      <w:r w:rsidRPr="00F74A07">
        <w:rPr>
          <w:rFonts w:eastAsia="Times New Roman"/>
          <w:b/>
          <w:bCs/>
        </w:rPr>
        <w:t>Controls:</w:t>
      </w:r>
      <w:r w:rsidRPr="00F74A07">
        <w:rPr>
          <w:rFonts w:eastAsia="Times New Roman"/>
        </w:rPr>
        <w:t xml:space="preserve"> Dedicated compliance teams per target market; regular legal audits; partnerships with local regulatory bodies; compliance checkpoints embedded in the content development workflow</w:t>
      </w:r>
      <w:r w:rsidR="008E05A9" w:rsidRPr="00F74A07">
        <w:rPr>
          <w:rFonts w:eastAsia="Times New Roman"/>
        </w:rPr>
        <w:t>.</w:t>
      </w:r>
    </w:p>
    <w:p w14:paraId="08354467" w14:textId="77777777" w:rsidR="0001291A" w:rsidRPr="00512FF4" w:rsidRDefault="0001291A" w:rsidP="00512FF4">
      <w:pPr>
        <w:spacing w:line="276" w:lineRule="auto"/>
        <w:ind w:left="360"/>
        <w:jc w:val="both"/>
      </w:pPr>
    </w:p>
    <w:p w14:paraId="47BF5270" w14:textId="77777777" w:rsidR="007346A1" w:rsidRPr="008E05A9" w:rsidRDefault="00000000" w:rsidP="00512FF4">
      <w:pPr>
        <w:spacing w:line="276" w:lineRule="auto"/>
        <w:jc w:val="both"/>
        <w:rPr>
          <w:b/>
          <w:bCs/>
          <w:sz w:val="24"/>
          <w:szCs w:val="24"/>
        </w:rPr>
      </w:pPr>
      <w:r w:rsidRPr="008E05A9">
        <w:rPr>
          <w:b/>
          <w:bCs/>
          <w:sz w:val="24"/>
          <w:szCs w:val="24"/>
        </w:rPr>
        <w:t>Risk 3: Technical Risk and Information Security</w:t>
      </w:r>
    </w:p>
    <w:p w14:paraId="5CF6E847" w14:textId="77777777" w:rsidR="00D33192" w:rsidRPr="00512FF4" w:rsidRDefault="00D33192" w:rsidP="00512FF4">
      <w:pPr>
        <w:spacing w:line="276" w:lineRule="auto"/>
        <w:jc w:val="both"/>
      </w:pPr>
    </w:p>
    <w:p w14:paraId="034F5036" w14:textId="0EC97C06" w:rsidR="008E05A9" w:rsidRPr="00F74A07" w:rsidRDefault="0001291A" w:rsidP="00F74A07">
      <w:pPr>
        <w:pStyle w:val="ListParagraph"/>
        <w:numPr>
          <w:ilvl w:val="0"/>
          <w:numId w:val="3"/>
        </w:numPr>
        <w:spacing w:line="276" w:lineRule="auto"/>
        <w:jc w:val="both"/>
        <w:rPr>
          <w:rFonts w:eastAsia="Times New Roman"/>
        </w:rPr>
      </w:pPr>
      <w:r w:rsidRPr="00F74A07">
        <w:rPr>
          <w:rFonts w:eastAsia="Times New Roman"/>
          <w:b/>
          <w:bCs/>
        </w:rPr>
        <w:t>Contributing Factors:</w:t>
      </w:r>
      <w:r w:rsidRPr="00F74A07">
        <w:rPr>
          <w:rFonts w:eastAsia="Times New Roman"/>
        </w:rPr>
        <w:t xml:space="preserve"> Processing and storage of sensitive learner data; gaps in data governance frameworks; third-party vendor vulnerabilities; risk of unauthorized access to student records</w:t>
      </w:r>
      <w:r w:rsidR="008E05A9" w:rsidRPr="00F74A07">
        <w:rPr>
          <w:rFonts w:eastAsia="Times New Roman"/>
        </w:rPr>
        <w:t>.</w:t>
      </w:r>
    </w:p>
    <w:p w14:paraId="728EA926" w14:textId="62A7B025" w:rsidR="00D33192" w:rsidRPr="00F74A07" w:rsidRDefault="0001291A" w:rsidP="00F74A07">
      <w:pPr>
        <w:pStyle w:val="ListParagraph"/>
        <w:numPr>
          <w:ilvl w:val="0"/>
          <w:numId w:val="3"/>
        </w:numPr>
        <w:spacing w:line="276" w:lineRule="auto"/>
        <w:jc w:val="both"/>
        <w:rPr>
          <w:rFonts w:eastAsia="Times New Roman"/>
        </w:rPr>
      </w:pPr>
      <w:r w:rsidRPr="00F74A07">
        <w:rPr>
          <w:rFonts w:eastAsia="Times New Roman"/>
          <w:b/>
          <w:bCs/>
        </w:rPr>
        <w:t>Controls:</w:t>
      </w:r>
      <w:r w:rsidRPr="00F74A07">
        <w:rPr>
          <w:rFonts w:eastAsia="Times New Roman"/>
        </w:rPr>
        <w:t xml:space="preserve"> End-to-end encryption for all learner data; mandatory GDPR and FERPA compliance audits; third-party security assessments; role-based access controls; incident response plan specific to educational data breaches</w:t>
      </w:r>
      <w:r w:rsidR="008E05A9" w:rsidRPr="00F74A07">
        <w:rPr>
          <w:rFonts w:eastAsia="Times New Roman"/>
        </w:rPr>
        <w:t>.</w:t>
      </w:r>
    </w:p>
    <w:p w14:paraId="3E55892C" w14:textId="77777777" w:rsidR="0001291A" w:rsidRPr="00512FF4" w:rsidRDefault="0001291A" w:rsidP="00512FF4">
      <w:pPr>
        <w:spacing w:line="276" w:lineRule="auto"/>
        <w:ind w:left="360"/>
        <w:jc w:val="both"/>
      </w:pPr>
    </w:p>
    <w:p w14:paraId="73A641B4" w14:textId="77777777" w:rsidR="007346A1" w:rsidRPr="008E05A9" w:rsidRDefault="00000000" w:rsidP="00512FF4">
      <w:pPr>
        <w:spacing w:line="276" w:lineRule="auto"/>
        <w:jc w:val="both"/>
        <w:rPr>
          <w:b/>
          <w:bCs/>
          <w:sz w:val="24"/>
          <w:szCs w:val="24"/>
        </w:rPr>
      </w:pPr>
      <w:r w:rsidRPr="008E05A9">
        <w:rPr>
          <w:b/>
          <w:bCs/>
          <w:sz w:val="24"/>
          <w:szCs w:val="24"/>
        </w:rPr>
        <w:t>Risk 4: Competitive Market Risk</w:t>
      </w:r>
    </w:p>
    <w:p w14:paraId="4A81724A" w14:textId="77777777" w:rsidR="007F6FEB" w:rsidRPr="00512FF4" w:rsidRDefault="007F6FEB" w:rsidP="00512FF4">
      <w:pPr>
        <w:spacing w:line="276" w:lineRule="auto"/>
        <w:jc w:val="both"/>
      </w:pPr>
    </w:p>
    <w:p w14:paraId="243061CC" w14:textId="408D5325" w:rsidR="008E05A9" w:rsidRPr="00F74A07" w:rsidRDefault="0001291A" w:rsidP="00F74A07">
      <w:pPr>
        <w:pStyle w:val="ListParagraph"/>
        <w:numPr>
          <w:ilvl w:val="0"/>
          <w:numId w:val="5"/>
        </w:numPr>
        <w:spacing w:line="276" w:lineRule="auto"/>
        <w:jc w:val="both"/>
        <w:rPr>
          <w:rFonts w:eastAsia="Times New Roman"/>
        </w:rPr>
      </w:pPr>
      <w:r w:rsidRPr="00F74A07">
        <w:rPr>
          <w:rFonts w:eastAsia="Times New Roman"/>
          <w:b/>
          <w:bCs/>
        </w:rPr>
        <w:t>Contributing Factors:</w:t>
      </w:r>
      <w:r w:rsidRPr="00F74A07">
        <w:rPr>
          <w:rFonts w:eastAsia="Times New Roman"/>
        </w:rPr>
        <w:t xml:space="preserve"> Competitors with established accreditation systems; strong learner loyalty to existing platforms; limited initial differentiation in course offerings</w:t>
      </w:r>
      <w:r w:rsidR="008E05A9" w:rsidRPr="00F74A07">
        <w:rPr>
          <w:rFonts w:eastAsia="Times New Roman"/>
        </w:rPr>
        <w:t>.</w:t>
      </w:r>
    </w:p>
    <w:p w14:paraId="3898A28C" w14:textId="08BB999F" w:rsidR="00D33192" w:rsidRPr="00F74A07" w:rsidRDefault="0001291A" w:rsidP="00F74A07">
      <w:pPr>
        <w:pStyle w:val="ListParagraph"/>
        <w:numPr>
          <w:ilvl w:val="0"/>
          <w:numId w:val="5"/>
        </w:numPr>
        <w:spacing w:line="276" w:lineRule="auto"/>
        <w:jc w:val="both"/>
        <w:rPr>
          <w:rFonts w:eastAsia="Times New Roman"/>
        </w:rPr>
      </w:pPr>
      <w:r w:rsidRPr="00F74A07">
        <w:rPr>
          <w:rFonts w:eastAsia="Times New Roman"/>
          <w:b/>
          <w:bCs/>
        </w:rPr>
        <w:t>Controls:</w:t>
      </w:r>
      <w:r w:rsidRPr="00F74A07">
        <w:rPr>
          <w:rFonts w:eastAsia="Times New Roman"/>
        </w:rPr>
        <w:t xml:space="preserve"> Ongoing competitive intelligence monitoring through KRIs; investment in exclusive content partnerships; development of Netflix-branded micro-credentials; continuous market benchmarking</w:t>
      </w:r>
      <w:r w:rsidR="008E05A9" w:rsidRPr="00F74A07">
        <w:rPr>
          <w:rFonts w:eastAsia="Times New Roman"/>
        </w:rPr>
        <w:t>.</w:t>
      </w:r>
    </w:p>
    <w:p w14:paraId="2B1A1E79" w14:textId="77777777" w:rsidR="002D2652" w:rsidRDefault="002D2652" w:rsidP="00D33192">
      <w:pPr>
        <w:spacing w:line="276" w:lineRule="auto"/>
        <w:ind w:left="360"/>
        <w:jc w:val="both"/>
      </w:pPr>
    </w:p>
    <w:p w14:paraId="3E2E1BFC" w14:textId="77777777" w:rsidR="00CF3044" w:rsidRPr="004D2695" w:rsidRDefault="00CF3044" w:rsidP="00D33192">
      <w:pPr>
        <w:spacing w:line="276" w:lineRule="auto"/>
        <w:ind w:left="360"/>
        <w:jc w:val="both"/>
      </w:pPr>
    </w:p>
    <w:p w14:paraId="073CAFC3" w14:textId="77777777" w:rsidR="007346A1" w:rsidRDefault="00000000" w:rsidP="00D33192">
      <w:pPr>
        <w:spacing w:line="276" w:lineRule="auto"/>
        <w:jc w:val="both"/>
        <w:rPr>
          <w:b/>
          <w:bCs/>
          <w:sz w:val="28"/>
          <w:szCs w:val="28"/>
          <w:lang w:val="pt-BR"/>
        </w:rPr>
      </w:pPr>
      <w:proofErr w:type="spellStart"/>
      <w:r w:rsidRPr="00D33192">
        <w:rPr>
          <w:b/>
          <w:bCs/>
          <w:sz w:val="28"/>
          <w:szCs w:val="28"/>
          <w:lang w:val="pt-BR"/>
        </w:rPr>
        <w:t>References</w:t>
      </w:r>
      <w:proofErr w:type="spellEnd"/>
    </w:p>
    <w:p w14:paraId="3DECEFF9" w14:textId="77777777" w:rsidR="0001291A" w:rsidRPr="00CF3044" w:rsidRDefault="0001291A" w:rsidP="00D33192">
      <w:pPr>
        <w:spacing w:line="276" w:lineRule="auto"/>
        <w:jc w:val="both"/>
        <w:rPr>
          <w:b/>
          <w:bCs/>
          <w:lang w:val="pt-BR"/>
        </w:rPr>
      </w:pPr>
    </w:p>
    <w:p w14:paraId="05BE6FF7" w14:textId="51FACD91" w:rsidR="00DD10A8" w:rsidRPr="00DD10A8" w:rsidRDefault="00DD10A8" w:rsidP="00DD10A8">
      <w:pPr>
        <w:pStyle w:val="font-claude-response-body"/>
        <w:spacing w:before="0" w:beforeAutospacing="0" w:after="0" w:afterAutospacing="0"/>
        <w:jc w:val="both"/>
        <w:rPr>
          <w:rFonts w:ascii="Arial" w:hAnsi="Arial" w:cs="Arial"/>
          <w:b/>
          <w:bCs/>
          <w:sz w:val="22"/>
          <w:szCs w:val="22"/>
          <w:lang w:val="pt-BR"/>
        </w:rPr>
      </w:pPr>
      <w:r w:rsidRPr="00DD10A8">
        <w:rPr>
          <w:rFonts w:ascii="Arial" w:hAnsi="Arial" w:cs="Arial"/>
          <w:color w:val="000000"/>
          <w:sz w:val="22"/>
          <w:szCs w:val="22"/>
        </w:rPr>
        <w:t xml:space="preserve">Anthropic. (2026). </w:t>
      </w:r>
      <w:r w:rsidRPr="00DD10A8">
        <w:rPr>
          <w:rFonts w:ascii="Arial" w:hAnsi="Arial" w:cs="Arial"/>
          <w:i/>
          <w:iCs/>
          <w:color w:val="000000"/>
          <w:sz w:val="22"/>
          <w:szCs w:val="22"/>
        </w:rPr>
        <w:t>Claude (claude.ai)</w:t>
      </w:r>
      <w:r w:rsidRPr="00DD10A8">
        <w:rPr>
          <w:rFonts w:ascii="Arial" w:hAnsi="Arial" w:cs="Arial"/>
          <w:color w:val="000000"/>
          <w:sz w:val="22"/>
          <w:szCs w:val="22"/>
        </w:rPr>
        <w:t xml:space="preserve"> [Large language model, used for brainstorming and drafting support].</w:t>
      </w:r>
      <w:r w:rsidRPr="00DD10A8">
        <w:rPr>
          <w:rStyle w:val="apple-converted-space"/>
          <w:rFonts w:ascii="Arial" w:hAnsi="Arial" w:cs="Arial"/>
          <w:color w:val="000000"/>
          <w:sz w:val="22"/>
          <w:szCs w:val="22"/>
        </w:rPr>
        <w:t> </w:t>
      </w:r>
      <w:hyperlink r:id="rId7" w:history="1">
        <w:r w:rsidRPr="00DD10A8">
          <w:rPr>
            <w:rStyle w:val="Hyperlink"/>
            <w:rFonts w:ascii="Arial" w:hAnsi="Arial" w:cs="Arial"/>
            <w:sz w:val="22"/>
            <w:szCs w:val="22"/>
          </w:rPr>
          <w:t>https://claude.ai</w:t>
        </w:r>
      </w:hyperlink>
    </w:p>
    <w:p w14:paraId="181CC63F" w14:textId="77777777" w:rsidR="002D2652" w:rsidRPr="002D2652" w:rsidRDefault="002D2652" w:rsidP="002D2652">
      <w:pPr>
        <w:spacing w:before="100" w:beforeAutospacing="1" w:after="100" w:afterAutospacing="1" w:line="276" w:lineRule="auto"/>
        <w:jc w:val="both"/>
        <w:rPr>
          <w:rFonts w:eastAsia="Times New Roman"/>
          <w:color w:val="000000"/>
        </w:rPr>
      </w:pPr>
      <w:r w:rsidRPr="00DD10A8">
        <w:rPr>
          <w:rFonts w:eastAsia="Times New Roman"/>
          <w:color w:val="000000"/>
        </w:rPr>
        <w:t>COSO. (2017). </w:t>
      </w:r>
      <w:r w:rsidRPr="00DD10A8">
        <w:rPr>
          <w:rFonts w:eastAsia="Times New Roman"/>
          <w:i/>
          <w:iCs/>
          <w:color w:val="000000"/>
        </w:rPr>
        <w:t>Enterprise risk management</w:t>
      </w:r>
      <w:r w:rsidRPr="002D2652">
        <w:rPr>
          <w:rFonts w:eastAsia="Times New Roman"/>
          <w:i/>
          <w:iCs/>
          <w:color w:val="000000"/>
        </w:rPr>
        <w:t>: Aligning risk with strategy and performance.</w:t>
      </w:r>
      <w:r w:rsidRPr="002D2652">
        <w:rPr>
          <w:rFonts w:eastAsia="Times New Roman"/>
          <w:color w:val="000000"/>
        </w:rPr>
        <w:t> Committee of Sponsoring Organizations of the Treadway Commission.</w:t>
      </w:r>
    </w:p>
    <w:p w14:paraId="22EE22A0" w14:textId="77777777" w:rsidR="002D2652" w:rsidRPr="002D2652" w:rsidRDefault="002D2652" w:rsidP="002D2652">
      <w:pPr>
        <w:spacing w:before="100" w:beforeAutospacing="1" w:after="100" w:afterAutospacing="1" w:line="276" w:lineRule="auto"/>
        <w:jc w:val="both"/>
        <w:rPr>
          <w:rFonts w:eastAsia="Times New Roman"/>
          <w:color w:val="000000"/>
        </w:rPr>
      </w:pPr>
      <w:r w:rsidRPr="002D2652">
        <w:rPr>
          <w:rFonts w:eastAsia="Times New Roman"/>
          <w:color w:val="000000"/>
        </w:rPr>
        <w:t>Global Market Insights. (2024). </w:t>
      </w:r>
      <w:r w:rsidRPr="002D2652">
        <w:rPr>
          <w:rFonts w:eastAsia="Times New Roman"/>
          <w:i/>
          <w:iCs/>
          <w:color w:val="000000"/>
        </w:rPr>
        <w:t>E-learning market size &amp; share report.</w:t>
      </w:r>
      <w:r w:rsidRPr="002D2652">
        <w:rPr>
          <w:rFonts w:eastAsia="Times New Roman"/>
          <w:color w:val="000000"/>
        </w:rPr>
        <w:t> GMI. </w:t>
      </w:r>
      <w:hyperlink r:id="rId8" w:history="1">
        <w:r w:rsidRPr="002D2652">
          <w:rPr>
            <w:rFonts w:eastAsia="Times New Roman"/>
            <w:color w:val="0000FF"/>
            <w:u w:val="single"/>
          </w:rPr>
          <w:t>https://www.gminsights.com/industry-analysis/elearning-market-size</w:t>
        </w:r>
      </w:hyperlink>
    </w:p>
    <w:p w14:paraId="24B30F65" w14:textId="77777777" w:rsidR="002D2652" w:rsidRPr="002D2652" w:rsidRDefault="002D2652" w:rsidP="002D2652">
      <w:pPr>
        <w:spacing w:before="100" w:beforeAutospacing="1" w:after="100" w:afterAutospacing="1" w:line="276" w:lineRule="auto"/>
        <w:jc w:val="both"/>
        <w:rPr>
          <w:rFonts w:eastAsia="Times New Roman"/>
          <w:color w:val="000000"/>
        </w:rPr>
      </w:pPr>
      <w:r w:rsidRPr="002D2652">
        <w:rPr>
          <w:rFonts w:eastAsia="Times New Roman"/>
          <w:color w:val="000000"/>
        </w:rPr>
        <w:t>Pantano, R. (n.d.). </w:t>
      </w:r>
      <w:r w:rsidRPr="002D2652">
        <w:rPr>
          <w:rFonts w:eastAsia="Times New Roman"/>
          <w:i/>
          <w:iCs/>
          <w:color w:val="000000"/>
        </w:rPr>
        <w:t>Introduction to risk management</w:t>
      </w:r>
      <w:r w:rsidRPr="002D2652">
        <w:rPr>
          <w:rFonts w:eastAsia="Times New Roman"/>
          <w:color w:val="000000"/>
        </w:rPr>
        <w:t> [Course presentation, Module 1]. ALY6130, Northeastern University.</w:t>
      </w:r>
    </w:p>
    <w:p w14:paraId="0462632C" w14:textId="77777777" w:rsidR="002D2652" w:rsidRPr="002D2652" w:rsidRDefault="002D2652" w:rsidP="002D2652">
      <w:pPr>
        <w:spacing w:before="100" w:beforeAutospacing="1" w:after="100" w:afterAutospacing="1" w:line="276" w:lineRule="auto"/>
        <w:jc w:val="both"/>
        <w:rPr>
          <w:rFonts w:eastAsia="Times New Roman"/>
          <w:color w:val="000000"/>
        </w:rPr>
      </w:pPr>
      <w:r w:rsidRPr="002D2652">
        <w:rPr>
          <w:rFonts w:eastAsia="Times New Roman"/>
          <w:color w:val="000000"/>
        </w:rPr>
        <w:t>Project Management Institute. (2009). </w:t>
      </w:r>
      <w:r w:rsidRPr="002D2652">
        <w:rPr>
          <w:rFonts w:eastAsia="Times New Roman"/>
          <w:i/>
          <w:iCs/>
          <w:color w:val="000000"/>
        </w:rPr>
        <w:t>Practice standard for project risk management.</w:t>
      </w:r>
      <w:r w:rsidRPr="002D2652">
        <w:rPr>
          <w:rFonts w:eastAsia="Times New Roman"/>
          <w:color w:val="000000"/>
        </w:rPr>
        <w:t> PMI.</w:t>
      </w:r>
    </w:p>
    <w:p w14:paraId="5D1C27DE" w14:textId="6241F9E6" w:rsidR="007346A1" w:rsidRPr="004D2695" w:rsidRDefault="007346A1" w:rsidP="002D2652">
      <w:pPr>
        <w:spacing w:line="276" w:lineRule="auto"/>
        <w:jc w:val="both"/>
      </w:pPr>
    </w:p>
    <w:sectPr w:rsidR="007346A1" w:rsidRPr="004D2695" w:rsidSect="004D2695">
      <w:footerReference w:type="even" r:id="rId9"/>
      <w:footerReference w:type="default" r:id="rId10"/>
      <w:pgSz w:w="12240" w:h="15840"/>
      <w:pgMar w:top="1440" w:right="1080" w:bottom="144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5AD5B" w14:textId="77777777" w:rsidR="00D205BE" w:rsidRDefault="00D205BE" w:rsidP="004D2695">
      <w:r>
        <w:separator/>
      </w:r>
    </w:p>
  </w:endnote>
  <w:endnote w:type="continuationSeparator" w:id="0">
    <w:p w14:paraId="38710E5E" w14:textId="77777777" w:rsidR="00D205BE" w:rsidRDefault="00D205BE" w:rsidP="004D2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w:name="-webkit-standard">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3038701"/>
      <w:docPartObj>
        <w:docPartGallery w:val="Page Numbers (Bottom of Page)"/>
        <w:docPartUnique/>
      </w:docPartObj>
    </w:sdtPr>
    <w:sdtContent>
      <w:p w14:paraId="3855EECF" w14:textId="3C99630B" w:rsidR="004D2695" w:rsidRDefault="004D2695" w:rsidP="00EC42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F09DC50" w14:textId="77777777" w:rsidR="004D2695" w:rsidRDefault="004D2695" w:rsidP="004D26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5150599"/>
      <w:docPartObj>
        <w:docPartGallery w:val="Page Numbers (Bottom of Page)"/>
        <w:docPartUnique/>
      </w:docPartObj>
    </w:sdtPr>
    <w:sdtContent>
      <w:p w14:paraId="7C6E82E7" w14:textId="27BD97A0" w:rsidR="004D2695" w:rsidRDefault="004D2695" w:rsidP="00EC42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30BF2CE" w14:textId="77777777" w:rsidR="004D2695" w:rsidRDefault="004D2695" w:rsidP="004D269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EECA6" w14:textId="77777777" w:rsidR="00D205BE" w:rsidRDefault="00D205BE" w:rsidP="004D2695">
      <w:r>
        <w:separator/>
      </w:r>
    </w:p>
  </w:footnote>
  <w:footnote w:type="continuationSeparator" w:id="0">
    <w:p w14:paraId="3E2A3306" w14:textId="77777777" w:rsidR="00D205BE" w:rsidRDefault="00D205BE" w:rsidP="004D26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C5241"/>
    <w:multiLevelType w:val="hybridMultilevel"/>
    <w:tmpl w:val="6D16540E"/>
    <w:lvl w:ilvl="0" w:tplc="309895F4">
      <w:start w:val="1"/>
      <w:numFmt w:val="bullet"/>
      <w:lvlText w:val="●"/>
      <w:lvlJc w:val="left"/>
      <w:pPr>
        <w:ind w:left="720" w:hanging="360"/>
      </w:pPr>
    </w:lvl>
    <w:lvl w:ilvl="1" w:tplc="60785E0E">
      <w:start w:val="1"/>
      <w:numFmt w:val="bullet"/>
      <w:lvlText w:val="○"/>
      <w:lvlJc w:val="left"/>
      <w:pPr>
        <w:ind w:left="1440" w:hanging="360"/>
      </w:pPr>
    </w:lvl>
    <w:lvl w:ilvl="2" w:tplc="ABFEC566">
      <w:start w:val="1"/>
      <w:numFmt w:val="bullet"/>
      <w:lvlText w:val="■"/>
      <w:lvlJc w:val="left"/>
      <w:pPr>
        <w:ind w:left="2160" w:hanging="360"/>
      </w:pPr>
    </w:lvl>
    <w:lvl w:ilvl="3" w:tplc="5A9CA718">
      <w:start w:val="1"/>
      <w:numFmt w:val="bullet"/>
      <w:lvlText w:val="●"/>
      <w:lvlJc w:val="left"/>
      <w:pPr>
        <w:ind w:left="2880" w:hanging="360"/>
      </w:pPr>
    </w:lvl>
    <w:lvl w:ilvl="4" w:tplc="BD60AD80">
      <w:start w:val="1"/>
      <w:numFmt w:val="bullet"/>
      <w:lvlText w:val="○"/>
      <w:lvlJc w:val="left"/>
      <w:pPr>
        <w:ind w:left="3600" w:hanging="360"/>
      </w:pPr>
    </w:lvl>
    <w:lvl w:ilvl="5" w:tplc="A80A24E8">
      <w:start w:val="1"/>
      <w:numFmt w:val="bullet"/>
      <w:lvlText w:val="■"/>
      <w:lvlJc w:val="left"/>
      <w:pPr>
        <w:ind w:left="4320" w:hanging="360"/>
      </w:pPr>
    </w:lvl>
    <w:lvl w:ilvl="6" w:tplc="57C6DA72">
      <w:start w:val="1"/>
      <w:numFmt w:val="bullet"/>
      <w:lvlText w:val="●"/>
      <w:lvlJc w:val="left"/>
      <w:pPr>
        <w:ind w:left="5040" w:hanging="360"/>
      </w:pPr>
    </w:lvl>
    <w:lvl w:ilvl="7" w:tplc="C1845CCE">
      <w:start w:val="1"/>
      <w:numFmt w:val="bullet"/>
      <w:lvlText w:val="●"/>
      <w:lvlJc w:val="left"/>
      <w:pPr>
        <w:ind w:left="5760" w:hanging="360"/>
      </w:pPr>
    </w:lvl>
    <w:lvl w:ilvl="8" w:tplc="DCA4418E">
      <w:start w:val="1"/>
      <w:numFmt w:val="bullet"/>
      <w:lvlText w:val="●"/>
      <w:lvlJc w:val="left"/>
      <w:pPr>
        <w:ind w:left="6480" w:hanging="360"/>
      </w:pPr>
    </w:lvl>
  </w:abstractNum>
  <w:abstractNum w:abstractNumId="1" w15:restartNumberingAfterBreak="0">
    <w:nsid w:val="25E036BC"/>
    <w:multiLevelType w:val="hybridMultilevel"/>
    <w:tmpl w:val="30F0CA7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59342D"/>
    <w:multiLevelType w:val="hybridMultilevel"/>
    <w:tmpl w:val="459E0AF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561DB1"/>
    <w:multiLevelType w:val="hybridMultilevel"/>
    <w:tmpl w:val="C5447790"/>
    <w:lvl w:ilvl="0" w:tplc="04090003">
      <w:start w:val="1"/>
      <w:numFmt w:val="bullet"/>
      <w:lvlText w:val="o"/>
      <w:lvlJc w:val="left"/>
      <w:pPr>
        <w:ind w:left="360" w:hanging="360"/>
      </w:pPr>
      <w:rPr>
        <w:rFonts w:ascii="Courier New" w:hAnsi="Courier New"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4A732C1"/>
    <w:multiLevelType w:val="hybridMultilevel"/>
    <w:tmpl w:val="ACF0EB56"/>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1925470">
    <w:abstractNumId w:val="0"/>
    <w:lvlOverride w:ilvl="0">
      <w:startOverride w:val="1"/>
    </w:lvlOverride>
  </w:num>
  <w:num w:numId="2" w16cid:durableId="2027636131">
    <w:abstractNumId w:val="3"/>
  </w:num>
  <w:num w:numId="3" w16cid:durableId="676545646">
    <w:abstractNumId w:val="4"/>
  </w:num>
  <w:num w:numId="4" w16cid:durableId="1628507897">
    <w:abstractNumId w:val="1"/>
  </w:num>
  <w:num w:numId="5" w16cid:durableId="15236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6A1"/>
    <w:rsid w:val="0001291A"/>
    <w:rsid w:val="00015AAD"/>
    <w:rsid w:val="002250DE"/>
    <w:rsid w:val="00233C88"/>
    <w:rsid w:val="002D2652"/>
    <w:rsid w:val="00300ED0"/>
    <w:rsid w:val="00397E09"/>
    <w:rsid w:val="0047202A"/>
    <w:rsid w:val="00491BCA"/>
    <w:rsid w:val="004D2695"/>
    <w:rsid w:val="00512FF4"/>
    <w:rsid w:val="00663DFE"/>
    <w:rsid w:val="007346A1"/>
    <w:rsid w:val="007E32C2"/>
    <w:rsid w:val="007F6FEB"/>
    <w:rsid w:val="008E05A9"/>
    <w:rsid w:val="00925FBD"/>
    <w:rsid w:val="00A3532B"/>
    <w:rsid w:val="00B05CF5"/>
    <w:rsid w:val="00B72156"/>
    <w:rsid w:val="00CF3044"/>
    <w:rsid w:val="00D205BE"/>
    <w:rsid w:val="00D33192"/>
    <w:rsid w:val="00DD10A8"/>
    <w:rsid w:val="00F74A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CEC34"/>
  <w15:docId w15:val="{D4E0A7AA-5064-C44C-A572-9B5E70CDC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663DFE"/>
    <w:rPr>
      <w:b/>
      <w:bCs/>
    </w:rPr>
  </w:style>
  <w:style w:type="paragraph" w:styleId="Footer">
    <w:name w:val="footer"/>
    <w:basedOn w:val="Normal"/>
    <w:link w:val="FooterChar"/>
    <w:uiPriority w:val="99"/>
    <w:unhideWhenUsed/>
    <w:rsid w:val="004D2695"/>
    <w:pPr>
      <w:tabs>
        <w:tab w:val="center" w:pos="4680"/>
        <w:tab w:val="right" w:pos="9360"/>
      </w:tabs>
    </w:pPr>
  </w:style>
  <w:style w:type="character" w:customStyle="1" w:styleId="FooterChar">
    <w:name w:val="Footer Char"/>
    <w:basedOn w:val="DefaultParagraphFont"/>
    <w:link w:val="Footer"/>
    <w:uiPriority w:val="99"/>
    <w:rsid w:val="004D2695"/>
  </w:style>
  <w:style w:type="character" w:styleId="PageNumber">
    <w:name w:val="page number"/>
    <w:basedOn w:val="DefaultParagraphFont"/>
    <w:uiPriority w:val="99"/>
    <w:semiHidden/>
    <w:unhideWhenUsed/>
    <w:rsid w:val="004D2695"/>
  </w:style>
  <w:style w:type="paragraph" w:customStyle="1" w:styleId="font-claude-response-body">
    <w:name w:val="font-claude-response-body"/>
    <w:basedOn w:val="Normal"/>
    <w:rsid w:val="00D33192"/>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D2652"/>
  </w:style>
  <w:style w:type="character" w:styleId="Emphasis">
    <w:name w:val="Emphasis"/>
    <w:basedOn w:val="DefaultParagraphFont"/>
    <w:uiPriority w:val="20"/>
    <w:qFormat/>
    <w:rsid w:val="002D26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minsights.com/industry-analysis/elearning-market-size" TargetMode="External"/><Relationship Id="rId3" Type="http://schemas.openxmlformats.org/officeDocument/2006/relationships/settings" Target="settings.xml"/><Relationship Id="rId7" Type="http://schemas.openxmlformats.org/officeDocument/2006/relationships/hyperlink" Target="https://claude.a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1041</Words>
  <Characters>5936</Characters>
  <Application>Microsoft Office Word</Application>
  <DocSecurity>0</DocSecurity>
  <Lines>49</Lines>
  <Paragraphs>13</Paragraphs>
  <ScaleCrop>false</ScaleCrop>
  <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Thaise Gusson Silva Domingos</cp:lastModifiedBy>
  <cp:revision>25</cp:revision>
  <dcterms:created xsi:type="dcterms:W3CDTF">2026-05-24T17:31:00Z</dcterms:created>
  <dcterms:modified xsi:type="dcterms:W3CDTF">2026-05-24T18:43:00Z</dcterms:modified>
</cp:coreProperties>
</file>