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F1630" w14:textId="77777777" w:rsidR="00663DFE" w:rsidRDefault="00663DFE" w:rsidP="00663DFE">
      <w:pPr>
        <w:spacing w:after="80"/>
        <w:jc w:val="center"/>
        <w:rPr>
          <w:b/>
          <w:bCs/>
          <w:sz w:val="48"/>
          <w:szCs w:val="48"/>
        </w:rPr>
      </w:pPr>
    </w:p>
    <w:p w14:paraId="6D124130" w14:textId="77777777" w:rsidR="00663DFE" w:rsidRDefault="00663DFE" w:rsidP="00663DFE">
      <w:pPr>
        <w:spacing w:after="80"/>
        <w:jc w:val="center"/>
        <w:rPr>
          <w:b/>
          <w:bCs/>
          <w:sz w:val="48"/>
          <w:szCs w:val="48"/>
        </w:rPr>
      </w:pPr>
    </w:p>
    <w:p w14:paraId="0AA09786" w14:textId="77777777" w:rsidR="00663DFE" w:rsidRDefault="00663DFE" w:rsidP="00663DFE">
      <w:pPr>
        <w:spacing w:after="80"/>
        <w:jc w:val="center"/>
        <w:rPr>
          <w:b/>
          <w:bCs/>
          <w:sz w:val="48"/>
          <w:szCs w:val="48"/>
        </w:rPr>
      </w:pPr>
    </w:p>
    <w:p w14:paraId="61E1625C" w14:textId="77777777" w:rsidR="00663DFE" w:rsidRDefault="00663DFE" w:rsidP="00663DFE">
      <w:pPr>
        <w:spacing w:after="80"/>
        <w:jc w:val="center"/>
        <w:rPr>
          <w:b/>
          <w:bCs/>
          <w:sz w:val="48"/>
          <w:szCs w:val="48"/>
        </w:rPr>
      </w:pPr>
    </w:p>
    <w:p w14:paraId="2A795A69" w14:textId="77777777" w:rsidR="00663DFE" w:rsidRDefault="00663DFE" w:rsidP="00663DFE">
      <w:pPr>
        <w:spacing w:after="80"/>
        <w:jc w:val="center"/>
        <w:rPr>
          <w:b/>
          <w:bCs/>
          <w:sz w:val="48"/>
          <w:szCs w:val="48"/>
        </w:rPr>
      </w:pPr>
    </w:p>
    <w:p w14:paraId="27541FB7" w14:textId="3FEC362C" w:rsidR="00663DFE" w:rsidRDefault="00663DFE" w:rsidP="00663DFE">
      <w:pPr>
        <w:spacing w:after="80"/>
        <w:jc w:val="center"/>
        <w:rPr>
          <w:b/>
          <w:bCs/>
          <w:sz w:val="48"/>
          <w:szCs w:val="48"/>
        </w:rPr>
      </w:pPr>
      <w:r>
        <w:rPr>
          <w:b/>
          <w:bCs/>
          <w:sz w:val="48"/>
          <w:szCs w:val="48"/>
        </w:rPr>
        <w:t>SWOT Analysis</w:t>
      </w:r>
    </w:p>
    <w:p w14:paraId="1ABFC623" w14:textId="77777777" w:rsidR="00663DFE" w:rsidRPr="00663DFE" w:rsidRDefault="00663DFE" w:rsidP="00663DFE">
      <w:pPr>
        <w:spacing w:after="100"/>
        <w:jc w:val="center"/>
        <w:rPr>
          <w:b/>
          <w:bCs/>
          <w:sz w:val="36"/>
          <w:szCs w:val="36"/>
        </w:rPr>
      </w:pPr>
      <w:r w:rsidRPr="00663DFE">
        <w:rPr>
          <w:b/>
          <w:bCs/>
          <w:sz w:val="36"/>
          <w:szCs w:val="36"/>
        </w:rPr>
        <w:t>Netflix — Expansion into Online Education</w:t>
      </w:r>
    </w:p>
    <w:p w14:paraId="615184E6" w14:textId="77777777" w:rsidR="00663DFE" w:rsidRDefault="00663DFE" w:rsidP="00663DFE">
      <w:pPr>
        <w:pBdr>
          <w:bottom w:val="single" w:sz="6" w:space="1" w:color="1F4E79"/>
        </w:pBdr>
        <w:spacing w:after="400"/>
      </w:pPr>
    </w:p>
    <w:p w14:paraId="291D7C8A" w14:textId="77777777" w:rsidR="00663DFE" w:rsidRDefault="00663DFE" w:rsidP="00663DFE">
      <w:pPr>
        <w:spacing w:after="120"/>
        <w:jc w:val="center"/>
        <w:rPr>
          <w:b/>
          <w:bCs/>
          <w:sz w:val="32"/>
          <w:szCs w:val="32"/>
        </w:rPr>
      </w:pPr>
      <w:r>
        <w:rPr>
          <w:b/>
          <w:bCs/>
          <w:sz w:val="32"/>
          <w:szCs w:val="32"/>
        </w:rPr>
        <w:t xml:space="preserve">Group 4 members: </w:t>
      </w:r>
    </w:p>
    <w:p w14:paraId="470808AD" w14:textId="4A7DCFBC" w:rsidR="00663DFE" w:rsidRPr="00663DFE" w:rsidRDefault="00663DFE" w:rsidP="00663DFE">
      <w:pPr>
        <w:spacing w:line="360" w:lineRule="auto"/>
        <w:jc w:val="center"/>
        <w:rPr>
          <w:b/>
          <w:bCs/>
          <w:color w:val="444444"/>
          <w:sz w:val="24"/>
          <w:szCs w:val="24"/>
        </w:rPr>
      </w:pPr>
      <w:r w:rsidRPr="00663DFE">
        <w:rPr>
          <w:b/>
          <w:bCs/>
          <w:color w:val="444444"/>
          <w:sz w:val="24"/>
          <w:szCs w:val="24"/>
        </w:rPr>
        <w:t>Adewole F Adelana</w:t>
      </w:r>
    </w:p>
    <w:p w14:paraId="6A801155" w14:textId="3F8406DC" w:rsidR="00663DFE" w:rsidRPr="00663DFE" w:rsidRDefault="00663DFE" w:rsidP="00663DFE">
      <w:pPr>
        <w:spacing w:line="360" w:lineRule="auto"/>
        <w:jc w:val="center"/>
        <w:rPr>
          <w:b/>
          <w:bCs/>
          <w:color w:val="444444"/>
          <w:sz w:val="24"/>
          <w:szCs w:val="24"/>
        </w:rPr>
      </w:pPr>
      <w:r w:rsidRPr="00663DFE">
        <w:rPr>
          <w:b/>
          <w:bCs/>
          <w:color w:val="444444"/>
          <w:sz w:val="24"/>
          <w:szCs w:val="24"/>
        </w:rPr>
        <w:t>Juliana Gyamfua</w:t>
      </w:r>
    </w:p>
    <w:p w14:paraId="24E9AB75" w14:textId="780B7478" w:rsidR="00663DFE" w:rsidRPr="00663DFE" w:rsidRDefault="00663DFE" w:rsidP="00663DFE">
      <w:pPr>
        <w:spacing w:line="360" w:lineRule="auto"/>
        <w:jc w:val="center"/>
        <w:rPr>
          <w:b/>
          <w:bCs/>
          <w:color w:val="444444"/>
          <w:sz w:val="24"/>
          <w:szCs w:val="24"/>
        </w:rPr>
      </w:pPr>
      <w:r w:rsidRPr="00663DFE">
        <w:rPr>
          <w:b/>
          <w:bCs/>
          <w:color w:val="444444"/>
          <w:sz w:val="24"/>
          <w:szCs w:val="24"/>
        </w:rPr>
        <w:t>Thaise Gusson Silva Domingos</w:t>
      </w:r>
    </w:p>
    <w:p w14:paraId="0F644818" w14:textId="33635DC1" w:rsidR="00663DFE" w:rsidRPr="00663DFE" w:rsidRDefault="00663DFE" w:rsidP="00663DFE">
      <w:pPr>
        <w:spacing w:line="360" w:lineRule="auto"/>
        <w:jc w:val="center"/>
        <w:rPr>
          <w:color w:val="444444"/>
          <w:sz w:val="24"/>
          <w:szCs w:val="24"/>
        </w:rPr>
      </w:pPr>
    </w:p>
    <w:p w14:paraId="152E80B6" w14:textId="77777777" w:rsidR="00663DFE" w:rsidRPr="004D2695" w:rsidRDefault="00663DFE" w:rsidP="00663DFE">
      <w:pPr>
        <w:spacing w:line="360" w:lineRule="auto"/>
        <w:jc w:val="center"/>
        <w:rPr>
          <w:color w:val="444444"/>
          <w:sz w:val="24"/>
          <w:szCs w:val="24"/>
        </w:rPr>
      </w:pPr>
      <w:r w:rsidRPr="004D2695">
        <w:rPr>
          <w:color w:val="444444"/>
          <w:sz w:val="24"/>
          <w:szCs w:val="24"/>
        </w:rPr>
        <w:t>Master of Professional Studies in Analytics</w:t>
      </w:r>
    </w:p>
    <w:p w14:paraId="340C7E3D" w14:textId="77777777" w:rsidR="00663DFE" w:rsidRPr="004D2695" w:rsidRDefault="00663DFE" w:rsidP="00663DFE">
      <w:pPr>
        <w:spacing w:line="360" w:lineRule="auto"/>
        <w:jc w:val="center"/>
        <w:rPr>
          <w:color w:val="444444"/>
          <w:sz w:val="24"/>
          <w:szCs w:val="24"/>
        </w:rPr>
      </w:pPr>
      <w:r w:rsidRPr="004D2695">
        <w:rPr>
          <w:color w:val="444444"/>
          <w:sz w:val="24"/>
          <w:szCs w:val="24"/>
        </w:rPr>
        <w:t>Northeastern University, College of Professional Studies</w:t>
      </w:r>
    </w:p>
    <w:p w14:paraId="5E53C5DF" w14:textId="487891CE" w:rsidR="00663DFE" w:rsidRPr="004D2695" w:rsidRDefault="00663DFE" w:rsidP="00663DFE">
      <w:pPr>
        <w:spacing w:line="360" w:lineRule="auto"/>
        <w:jc w:val="center"/>
        <w:rPr>
          <w:color w:val="444444"/>
          <w:sz w:val="24"/>
          <w:szCs w:val="24"/>
        </w:rPr>
      </w:pPr>
      <w:r w:rsidRPr="004D2695">
        <w:rPr>
          <w:color w:val="444444"/>
          <w:sz w:val="24"/>
          <w:szCs w:val="24"/>
        </w:rPr>
        <w:t>ALY6130 – Risk Management for Analytics</w:t>
      </w:r>
    </w:p>
    <w:p w14:paraId="4EDAE270" w14:textId="75C646FE" w:rsidR="00663DFE" w:rsidRPr="004D2695" w:rsidRDefault="00663DFE" w:rsidP="00663DFE">
      <w:pPr>
        <w:spacing w:line="360" w:lineRule="auto"/>
        <w:jc w:val="center"/>
        <w:rPr>
          <w:color w:val="444444"/>
          <w:sz w:val="24"/>
          <w:szCs w:val="24"/>
        </w:rPr>
      </w:pPr>
      <w:r w:rsidRPr="004D2695">
        <w:rPr>
          <w:color w:val="444444"/>
          <w:sz w:val="24"/>
          <w:szCs w:val="24"/>
        </w:rPr>
        <w:t xml:space="preserve">Professor: </w:t>
      </w:r>
      <w:r w:rsidRPr="004D2695">
        <w:rPr>
          <w:rFonts w:ascii="Lato" w:hAnsi="Lato"/>
          <w:color w:val="000000"/>
          <w:sz w:val="24"/>
          <w:szCs w:val="24"/>
          <w:shd w:val="clear" w:color="auto" w:fill="FFFFFF"/>
        </w:rPr>
        <w:t>Abeba N. Turi</w:t>
      </w:r>
    </w:p>
    <w:p w14:paraId="3E2DC824" w14:textId="77777777" w:rsidR="00663DFE" w:rsidRDefault="00663DFE" w:rsidP="00663DFE">
      <w:pPr>
        <w:spacing w:line="360" w:lineRule="auto"/>
        <w:jc w:val="center"/>
        <w:rPr>
          <w:color w:val="444444"/>
        </w:rPr>
      </w:pPr>
    </w:p>
    <w:p w14:paraId="7D63E4AA" w14:textId="77777777" w:rsidR="00663DFE" w:rsidRDefault="00663DFE" w:rsidP="00663DFE">
      <w:pPr>
        <w:spacing w:line="360" w:lineRule="auto"/>
        <w:jc w:val="center"/>
        <w:rPr>
          <w:color w:val="444444"/>
        </w:rPr>
      </w:pPr>
    </w:p>
    <w:p w14:paraId="7C485AEB" w14:textId="77777777" w:rsidR="00663DFE" w:rsidRDefault="00663DFE" w:rsidP="00663DFE">
      <w:pPr>
        <w:spacing w:line="360" w:lineRule="auto"/>
        <w:jc w:val="center"/>
        <w:rPr>
          <w:color w:val="444444"/>
          <w:sz w:val="24"/>
          <w:szCs w:val="24"/>
        </w:rPr>
      </w:pPr>
    </w:p>
    <w:p w14:paraId="45BBC26B" w14:textId="77606FB9" w:rsidR="00663DFE" w:rsidRPr="004D2695" w:rsidRDefault="00663DFE" w:rsidP="00863769">
      <w:pPr>
        <w:spacing w:line="360" w:lineRule="auto"/>
        <w:ind w:left="3600" w:firstLine="720"/>
        <w:rPr>
          <w:color w:val="444444"/>
        </w:rPr>
      </w:pPr>
      <w:r w:rsidRPr="004D2695">
        <w:rPr>
          <w:color w:val="444444"/>
        </w:rPr>
        <w:t>May 25, 2026</w:t>
      </w:r>
    </w:p>
    <w:p w14:paraId="78825803" w14:textId="77777777" w:rsidR="000E7875" w:rsidRDefault="000E7875" w:rsidP="00A3532B">
      <w:pPr>
        <w:spacing w:line="276" w:lineRule="auto"/>
        <w:jc w:val="both"/>
        <w:rPr>
          <w:b/>
          <w:bCs/>
          <w:sz w:val="28"/>
          <w:szCs w:val="28"/>
        </w:rPr>
      </w:pPr>
    </w:p>
    <w:p w14:paraId="6F14114C" w14:textId="77777777" w:rsidR="000E7875" w:rsidRDefault="000E7875" w:rsidP="00A3532B">
      <w:pPr>
        <w:spacing w:line="276" w:lineRule="auto"/>
        <w:jc w:val="both"/>
        <w:rPr>
          <w:b/>
          <w:bCs/>
          <w:sz w:val="28"/>
          <w:szCs w:val="28"/>
        </w:rPr>
      </w:pPr>
    </w:p>
    <w:p w14:paraId="483EEAED" w14:textId="77777777" w:rsidR="000E7875" w:rsidRDefault="000E7875" w:rsidP="00A3532B">
      <w:pPr>
        <w:spacing w:line="276" w:lineRule="auto"/>
        <w:jc w:val="both"/>
        <w:rPr>
          <w:b/>
          <w:bCs/>
          <w:sz w:val="28"/>
          <w:szCs w:val="28"/>
        </w:rPr>
      </w:pPr>
    </w:p>
    <w:p w14:paraId="6D84372A" w14:textId="77777777" w:rsidR="000E7875" w:rsidRDefault="000E7875" w:rsidP="00A3532B">
      <w:pPr>
        <w:spacing w:line="276" w:lineRule="auto"/>
        <w:jc w:val="both"/>
        <w:rPr>
          <w:b/>
          <w:bCs/>
          <w:sz w:val="28"/>
          <w:szCs w:val="28"/>
        </w:rPr>
      </w:pPr>
    </w:p>
    <w:p w14:paraId="6F87BBCD" w14:textId="77777777" w:rsidR="000E7875" w:rsidRDefault="000E7875" w:rsidP="00A3532B">
      <w:pPr>
        <w:spacing w:line="276" w:lineRule="auto"/>
        <w:jc w:val="both"/>
        <w:rPr>
          <w:b/>
          <w:bCs/>
          <w:sz w:val="28"/>
          <w:szCs w:val="28"/>
        </w:rPr>
      </w:pPr>
    </w:p>
    <w:p w14:paraId="43B4411D" w14:textId="77777777" w:rsidR="000E7875" w:rsidRDefault="000E7875" w:rsidP="00A3532B">
      <w:pPr>
        <w:spacing w:line="276" w:lineRule="auto"/>
        <w:jc w:val="both"/>
        <w:rPr>
          <w:b/>
          <w:bCs/>
          <w:sz w:val="28"/>
          <w:szCs w:val="28"/>
        </w:rPr>
      </w:pPr>
    </w:p>
    <w:p w14:paraId="1AD1A8E7" w14:textId="77777777" w:rsidR="000E7875" w:rsidRDefault="000E7875" w:rsidP="00A3532B">
      <w:pPr>
        <w:spacing w:line="276" w:lineRule="auto"/>
        <w:jc w:val="both"/>
        <w:rPr>
          <w:b/>
          <w:bCs/>
          <w:sz w:val="28"/>
          <w:szCs w:val="28"/>
        </w:rPr>
      </w:pPr>
    </w:p>
    <w:p w14:paraId="1A1AB525" w14:textId="7E83A158" w:rsidR="00A3532B" w:rsidRDefault="00BB524A" w:rsidP="00A3532B">
      <w:pPr>
        <w:spacing w:line="276" w:lineRule="auto"/>
        <w:jc w:val="both"/>
        <w:rPr>
          <w:b/>
          <w:bCs/>
          <w:sz w:val="28"/>
          <w:szCs w:val="28"/>
        </w:rPr>
      </w:pPr>
      <w:r w:rsidRPr="00663DFE">
        <w:rPr>
          <w:b/>
          <w:bCs/>
          <w:sz w:val="28"/>
          <w:szCs w:val="28"/>
        </w:rPr>
        <w:lastRenderedPageBreak/>
        <w:t>SWOT Analysis</w:t>
      </w:r>
    </w:p>
    <w:p w14:paraId="54595559" w14:textId="263D560B" w:rsidR="00A3532B" w:rsidRPr="00A3532B" w:rsidRDefault="00A3532B" w:rsidP="00A3532B">
      <w:pPr>
        <w:spacing w:line="276" w:lineRule="auto"/>
        <w:jc w:val="both"/>
        <w:rPr>
          <w:b/>
          <w:bCs/>
          <w:sz w:val="21"/>
          <w:szCs w:val="21"/>
        </w:rPr>
      </w:pPr>
      <w:r w:rsidRPr="00A3532B">
        <w:rPr>
          <w:b/>
          <w:bCs/>
          <w:sz w:val="24"/>
          <w:szCs w:val="24"/>
        </w:rPr>
        <w:t>Netflix — Expansion into Online Education</w:t>
      </w:r>
    </w:p>
    <w:p w14:paraId="02794250" w14:textId="72214E2A" w:rsidR="007346A1" w:rsidRDefault="007346A1">
      <w:pPr>
        <w:spacing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346A1" w14:paraId="73453585" w14:textId="77777777" w:rsidTr="004D2695">
        <w:trPr>
          <w:jc w:val="center"/>
        </w:trPr>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120" w:type="dxa"/>
              <w:left w:w="180" w:type="dxa"/>
              <w:bottom w:w="120" w:type="dxa"/>
              <w:right w:w="180" w:type="dxa"/>
            </w:tcMar>
            <w:vAlign w:val="center"/>
          </w:tcPr>
          <w:p w14:paraId="00F1ADC4" w14:textId="77777777" w:rsidR="007346A1" w:rsidRDefault="00BB524A">
            <w:pPr>
              <w:jc w:val="center"/>
            </w:pPr>
            <w:r>
              <w:rPr>
                <w:b/>
                <w:bCs/>
                <w:color w:val="FFFFFF"/>
                <w:sz w:val="26"/>
                <w:szCs w:val="26"/>
              </w:rPr>
              <w:t>STRENGTHS</w:t>
            </w:r>
          </w:p>
        </w:tc>
        <w:tc>
          <w:tcPr>
            <w:tcW w:w="4680" w:type="dxa"/>
            <w:tcBorders>
              <w:top w:val="single" w:sz="4" w:space="0" w:color="2E75B6"/>
              <w:left w:val="single" w:sz="4" w:space="0" w:color="2E75B6"/>
              <w:bottom w:val="single" w:sz="4" w:space="0" w:color="2E75B6"/>
              <w:right w:val="single" w:sz="4" w:space="0" w:color="2E75B6"/>
            </w:tcBorders>
            <w:shd w:val="clear" w:color="auto" w:fill="C00000"/>
            <w:tcMar>
              <w:top w:w="120" w:type="dxa"/>
              <w:left w:w="180" w:type="dxa"/>
              <w:bottom w:w="120" w:type="dxa"/>
              <w:right w:w="180" w:type="dxa"/>
            </w:tcMar>
            <w:vAlign w:val="center"/>
          </w:tcPr>
          <w:p w14:paraId="52A3DC3F" w14:textId="77777777" w:rsidR="007346A1" w:rsidRDefault="00BB524A">
            <w:pPr>
              <w:jc w:val="center"/>
            </w:pPr>
            <w:r>
              <w:rPr>
                <w:b/>
                <w:bCs/>
                <w:color w:val="FFFFFF"/>
                <w:sz w:val="26"/>
                <w:szCs w:val="26"/>
              </w:rPr>
              <w:t>WEAKNESSES</w:t>
            </w:r>
          </w:p>
        </w:tc>
      </w:tr>
      <w:tr w:rsidR="007346A1" w14:paraId="0B42AD2A" w14:textId="77777777" w:rsidTr="004D2695">
        <w:trPr>
          <w:jc w:val="center"/>
        </w:trPr>
        <w:tc>
          <w:tcPr>
            <w:tcW w:w="468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6CCF61F7" w14:textId="2DB4EEC7" w:rsidR="0001291A" w:rsidRDefault="002250DE" w:rsidP="0047202A">
            <w:pPr>
              <w:jc w:val="both"/>
            </w:pPr>
            <w:r>
              <w:rPr>
                <w:rFonts w:hAnsi="Symbol"/>
              </w:rPr>
              <w:t></w:t>
            </w:r>
            <w:r>
              <w:t xml:space="preserve"> Netflix</w:t>
            </w:r>
            <w:r w:rsidR="0001291A">
              <w:t xml:space="preserve"> has a global subscriber base of over 300 million users, providing an immediate distribution channel for new educational content.</w:t>
            </w:r>
          </w:p>
          <w:p w14:paraId="6AEE2C07" w14:textId="2F8BB020" w:rsidR="0001291A" w:rsidRDefault="002250DE" w:rsidP="0047202A">
            <w:pPr>
              <w:jc w:val="both"/>
            </w:pPr>
            <w:r>
              <w:rPr>
                <w:rFonts w:hAnsi="Symbol"/>
              </w:rPr>
              <w:t></w:t>
            </w:r>
            <w:r>
              <w:t xml:space="preserve"> Its</w:t>
            </w:r>
            <w:r w:rsidR="0001291A">
              <w:t xml:space="preserve"> proprietary recommendation algorithm can be adapted to personalize learning experiences based on individual preferences and progress.</w:t>
            </w:r>
          </w:p>
          <w:p w14:paraId="760F14E1" w14:textId="3BEEF7F2" w:rsidR="007346A1" w:rsidRDefault="0001291A" w:rsidP="0047202A">
            <w:pPr>
              <w:jc w:val="both"/>
            </w:pPr>
            <w:r>
              <w:rPr>
                <w:rFonts w:hAnsi="Symbol"/>
              </w:rPr>
              <w:t></w:t>
            </w:r>
            <w:r w:rsidR="0047202A">
              <w:rPr>
                <w:rFonts w:hAnsi="Symbol"/>
              </w:rPr>
              <w:t xml:space="preserve"> </w:t>
            </w:r>
            <w:r>
              <w:t>Netflix has deep expertise in content production and licensing, enabling it to develop or acquire high-quality educational material at scale.</w:t>
            </w:r>
          </w:p>
        </w:tc>
        <w:tc>
          <w:tcPr>
            <w:tcW w:w="4680" w:type="dxa"/>
            <w:tcBorders>
              <w:top w:val="single" w:sz="4" w:space="0" w:color="2E75B6"/>
              <w:left w:val="single" w:sz="4" w:space="0" w:color="2E75B6"/>
              <w:bottom w:val="single" w:sz="4" w:space="0" w:color="2E75B6"/>
              <w:right w:val="single" w:sz="4" w:space="0" w:color="2E75B6"/>
            </w:tcBorders>
            <w:shd w:val="clear" w:color="auto" w:fill="FDECEA"/>
            <w:tcMar>
              <w:top w:w="120" w:type="dxa"/>
              <w:left w:w="180" w:type="dxa"/>
              <w:bottom w:w="120" w:type="dxa"/>
              <w:right w:w="180" w:type="dxa"/>
            </w:tcMar>
          </w:tcPr>
          <w:p w14:paraId="3B5B25B8" w14:textId="6E546411" w:rsidR="0001291A" w:rsidRDefault="002250DE" w:rsidP="0047202A">
            <w:pPr>
              <w:jc w:val="both"/>
            </w:pPr>
            <w:r>
              <w:rPr>
                <w:rFonts w:hAnsi="Symbol"/>
              </w:rPr>
              <w:t></w:t>
            </w:r>
            <w:r>
              <w:t xml:space="preserve"> Netflix</w:t>
            </w:r>
            <w:r w:rsidR="0001291A">
              <w:t xml:space="preserve"> lacks credentialing capabilities, which are essential in the formal education market where certifications matter to learners and employers.</w:t>
            </w:r>
          </w:p>
          <w:p w14:paraId="32C2CED9" w14:textId="0F6209B0" w:rsidR="0001291A" w:rsidRDefault="002250DE" w:rsidP="0047202A">
            <w:pPr>
              <w:jc w:val="both"/>
            </w:pPr>
            <w:r>
              <w:rPr>
                <w:rFonts w:hAnsi="Symbol"/>
              </w:rPr>
              <w:t></w:t>
            </w:r>
            <w:r>
              <w:t xml:space="preserve"> The</w:t>
            </w:r>
            <w:r w:rsidR="0001291A">
              <w:t xml:space="preserve"> brand is strongly associated with entertainment, which may create skepticism among learners and resistance from academic institutions.</w:t>
            </w:r>
          </w:p>
          <w:p w14:paraId="04535078" w14:textId="5110E6CD" w:rsidR="007346A1" w:rsidRDefault="002250DE" w:rsidP="0047202A">
            <w:pPr>
              <w:jc w:val="both"/>
            </w:pPr>
            <w:r>
              <w:rPr>
                <w:rFonts w:hAnsi="Symbol"/>
              </w:rPr>
              <w:t></w:t>
            </w:r>
            <w:r>
              <w:rPr>
                <w:rFonts w:hAnsi="Symbol"/>
              </w:rPr>
              <w:t xml:space="preserve"> Its</w:t>
            </w:r>
            <w:r w:rsidR="0001291A">
              <w:t xml:space="preserve"> subscription model is not naturally suited for course-based learning, and restructuring the pricing approach would require significant operational changes.</w:t>
            </w:r>
          </w:p>
        </w:tc>
      </w:tr>
      <w:tr w:rsidR="007346A1" w14:paraId="7358267D" w14:textId="77777777" w:rsidTr="004D2695">
        <w:trPr>
          <w:jc w:val="center"/>
        </w:trPr>
        <w:tc>
          <w:tcPr>
            <w:tcW w:w="4680" w:type="dxa"/>
            <w:tcBorders>
              <w:top w:val="single" w:sz="4" w:space="0" w:color="2E75B6"/>
              <w:left w:val="single" w:sz="4" w:space="0" w:color="2E75B6"/>
              <w:bottom w:val="single" w:sz="4" w:space="0" w:color="2E75B6"/>
              <w:right w:val="single" w:sz="4" w:space="0" w:color="2E75B6"/>
            </w:tcBorders>
            <w:shd w:val="clear" w:color="auto" w:fill="375623"/>
            <w:tcMar>
              <w:top w:w="120" w:type="dxa"/>
              <w:left w:w="180" w:type="dxa"/>
              <w:bottom w:w="120" w:type="dxa"/>
              <w:right w:w="180" w:type="dxa"/>
            </w:tcMar>
            <w:vAlign w:val="center"/>
          </w:tcPr>
          <w:p w14:paraId="17F9E61F" w14:textId="77777777" w:rsidR="007346A1" w:rsidRDefault="00BB524A">
            <w:pPr>
              <w:jc w:val="center"/>
            </w:pPr>
            <w:r>
              <w:rPr>
                <w:b/>
                <w:bCs/>
                <w:color w:val="FFFFFF"/>
                <w:sz w:val="26"/>
                <w:szCs w:val="26"/>
              </w:rPr>
              <w:t>OPPORTUNITIES</w:t>
            </w:r>
          </w:p>
        </w:tc>
        <w:tc>
          <w:tcPr>
            <w:tcW w:w="4680" w:type="dxa"/>
            <w:tcBorders>
              <w:top w:val="single" w:sz="4" w:space="0" w:color="2E75B6"/>
              <w:left w:val="single" w:sz="4" w:space="0" w:color="2E75B6"/>
              <w:bottom w:val="single" w:sz="4" w:space="0" w:color="2E75B6"/>
              <w:right w:val="single" w:sz="4" w:space="0" w:color="2E75B6"/>
            </w:tcBorders>
            <w:shd w:val="clear" w:color="auto" w:fill="7F3F00"/>
            <w:tcMar>
              <w:top w:w="120" w:type="dxa"/>
              <w:left w:w="180" w:type="dxa"/>
              <w:bottom w:w="120" w:type="dxa"/>
              <w:right w:w="180" w:type="dxa"/>
            </w:tcMar>
            <w:vAlign w:val="center"/>
          </w:tcPr>
          <w:p w14:paraId="68FE0023" w14:textId="77777777" w:rsidR="007346A1" w:rsidRDefault="00BB524A">
            <w:pPr>
              <w:jc w:val="center"/>
            </w:pPr>
            <w:r>
              <w:rPr>
                <w:b/>
                <w:bCs/>
                <w:color w:val="FFFFFF"/>
                <w:sz w:val="26"/>
                <w:szCs w:val="26"/>
              </w:rPr>
              <w:t>THREATS</w:t>
            </w:r>
          </w:p>
        </w:tc>
      </w:tr>
      <w:tr w:rsidR="007346A1" w14:paraId="53379EF6" w14:textId="77777777" w:rsidTr="004D2695">
        <w:trPr>
          <w:jc w:val="center"/>
        </w:trPr>
        <w:tc>
          <w:tcPr>
            <w:tcW w:w="4680" w:type="dxa"/>
            <w:tcBorders>
              <w:top w:val="single" w:sz="4" w:space="0" w:color="2E75B6"/>
              <w:left w:val="single" w:sz="4" w:space="0" w:color="2E75B6"/>
              <w:bottom w:val="single" w:sz="4" w:space="0" w:color="2E75B6"/>
              <w:right w:val="single" w:sz="4" w:space="0" w:color="2E75B6"/>
            </w:tcBorders>
            <w:shd w:val="clear" w:color="auto" w:fill="EBF5EB"/>
            <w:tcMar>
              <w:top w:w="120" w:type="dxa"/>
              <w:left w:w="180" w:type="dxa"/>
              <w:bottom w:w="120" w:type="dxa"/>
              <w:right w:w="180" w:type="dxa"/>
            </w:tcMar>
          </w:tcPr>
          <w:p w14:paraId="0040CA1D" w14:textId="6C6CA589" w:rsidR="0001291A" w:rsidRDefault="002250DE" w:rsidP="0047202A">
            <w:pPr>
              <w:jc w:val="both"/>
            </w:pPr>
            <w:r>
              <w:rPr>
                <w:rFonts w:hAnsi="Symbol"/>
              </w:rPr>
              <w:t></w:t>
            </w:r>
            <w:r>
              <w:t xml:space="preserve"> The</w:t>
            </w:r>
            <w:r w:rsidR="0001291A">
              <w:t xml:space="preserve"> global e-learning market is projected to exceed $600 billion by 2030, driven by growing demand for flexible, self-paced learning among working professionals.</w:t>
            </w:r>
          </w:p>
          <w:p w14:paraId="50966192" w14:textId="5C5B0189" w:rsidR="0001291A" w:rsidRDefault="002250DE" w:rsidP="0047202A">
            <w:pPr>
              <w:jc w:val="both"/>
            </w:pPr>
            <w:r>
              <w:rPr>
                <w:rFonts w:hAnsi="Symbol"/>
              </w:rPr>
              <w:t></w:t>
            </w:r>
            <w:r>
              <w:t xml:space="preserve"> Companies</w:t>
            </w:r>
            <w:r w:rsidR="0001291A">
              <w:t xml:space="preserve"> are increasingly investing in employee upskilling, creating a B2B opportunity for Netflix to offer corporate learning solutions.</w:t>
            </w:r>
          </w:p>
          <w:p w14:paraId="30C39511" w14:textId="2E5332AC" w:rsidR="007346A1" w:rsidRDefault="002250DE" w:rsidP="0047202A">
            <w:pPr>
              <w:jc w:val="both"/>
            </w:pPr>
            <w:r>
              <w:rPr>
                <w:rFonts w:hAnsi="Symbol"/>
              </w:rPr>
              <w:t></w:t>
            </w:r>
            <w:r>
              <w:rPr>
                <w:rFonts w:hAnsi="Symbol"/>
              </w:rPr>
              <w:t xml:space="preserve"> </w:t>
            </w:r>
            <w:r>
              <w:t>Partnerships</w:t>
            </w:r>
            <w:r w:rsidR="0001291A">
              <w:t xml:space="preserve"> with universities and professional organizations could allow Netflix to offer accredited micro-credentials, a gap the current streaming education market has yet to fill.</w:t>
            </w:r>
          </w:p>
        </w:tc>
        <w:tc>
          <w:tcPr>
            <w:tcW w:w="4680" w:type="dxa"/>
            <w:tcBorders>
              <w:top w:val="single" w:sz="4" w:space="0" w:color="2E75B6"/>
              <w:left w:val="single" w:sz="4" w:space="0" w:color="2E75B6"/>
              <w:bottom w:val="single" w:sz="4" w:space="0" w:color="2E75B6"/>
              <w:right w:val="single" w:sz="4" w:space="0" w:color="2E75B6"/>
            </w:tcBorders>
            <w:shd w:val="clear" w:color="auto" w:fill="FEF3E2"/>
            <w:tcMar>
              <w:top w:w="120" w:type="dxa"/>
              <w:left w:w="180" w:type="dxa"/>
              <w:bottom w:w="120" w:type="dxa"/>
              <w:right w:w="180" w:type="dxa"/>
            </w:tcMar>
          </w:tcPr>
          <w:p w14:paraId="03C76C5B" w14:textId="5FF12C89" w:rsidR="0001291A" w:rsidRDefault="002250DE" w:rsidP="0047202A">
            <w:pPr>
              <w:jc w:val="both"/>
            </w:pPr>
            <w:r>
              <w:rPr>
                <w:rFonts w:hAnsi="Symbol"/>
              </w:rPr>
              <w:t></w:t>
            </w:r>
            <w:r>
              <w:t xml:space="preserve"> Established</w:t>
            </w:r>
            <w:r w:rsidR="0001291A">
              <w:t xml:space="preserve"> platforms such as Coursera, LinkedIn Learning, and Udemy hold strong market positions with years of academic partnerships and credentialing infrastructure that Netflix does not yet have.</w:t>
            </w:r>
          </w:p>
          <w:p w14:paraId="14949E73" w14:textId="02D036EF" w:rsidR="0001291A" w:rsidRDefault="002250DE" w:rsidP="0047202A">
            <w:pPr>
              <w:jc w:val="both"/>
            </w:pPr>
            <w:r>
              <w:rPr>
                <w:rFonts w:hAnsi="Symbol"/>
              </w:rPr>
              <w:t></w:t>
            </w:r>
            <w:r>
              <w:t xml:space="preserve"> Educational</w:t>
            </w:r>
            <w:r w:rsidR="0001291A">
              <w:t xml:space="preserve"> regulations vary significantly across countries, exposing Netflix to complex compliance challenges when entering new markets.</w:t>
            </w:r>
          </w:p>
          <w:p w14:paraId="5CB2D238" w14:textId="46EFECD2" w:rsidR="007346A1" w:rsidRDefault="002250DE" w:rsidP="0047202A">
            <w:pPr>
              <w:jc w:val="both"/>
            </w:pPr>
            <w:r>
              <w:rPr>
                <w:rFonts w:hAnsi="Symbol"/>
              </w:rPr>
              <w:t></w:t>
            </w:r>
            <w:r>
              <w:t xml:space="preserve"> Student</w:t>
            </w:r>
            <w:r w:rsidR="0001291A">
              <w:t xml:space="preserve"> data is subject to strict privacy regulations such as FERPA in the U.S. and GDPR in Europe, requiring substantial investment in data governance and cybersecurity infrastructure that goes beyond Netflix's current entertainment-focused systems.</w:t>
            </w:r>
          </w:p>
        </w:tc>
      </w:tr>
    </w:tbl>
    <w:p w14:paraId="41ED49DA" w14:textId="77777777" w:rsidR="00D33192" w:rsidRPr="00512FF4" w:rsidRDefault="00D33192" w:rsidP="00512FF4">
      <w:pPr>
        <w:spacing w:line="276" w:lineRule="auto"/>
        <w:jc w:val="both"/>
        <w:rPr>
          <w:b/>
          <w:bCs/>
        </w:rPr>
      </w:pPr>
    </w:p>
    <w:p w14:paraId="703173E8" w14:textId="77777777" w:rsidR="00D33192" w:rsidRPr="00512FF4" w:rsidRDefault="00D33192" w:rsidP="00512FF4">
      <w:pPr>
        <w:spacing w:line="276" w:lineRule="auto"/>
        <w:jc w:val="both"/>
        <w:rPr>
          <w:b/>
          <w:bCs/>
        </w:rPr>
      </w:pPr>
    </w:p>
    <w:p w14:paraId="05E28A49" w14:textId="77777777" w:rsidR="00D33192" w:rsidRPr="00512FF4" w:rsidRDefault="00D33192" w:rsidP="00512FF4">
      <w:pPr>
        <w:pStyle w:val="font-claude-response-body"/>
        <w:spacing w:before="0" w:beforeAutospacing="0" w:after="0" w:afterAutospacing="0" w:line="276" w:lineRule="auto"/>
        <w:jc w:val="both"/>
        <w:rPr>
          <w:rStyle w:val="Strong"/>
          <w:rFonts w:ascii="Arial" w:hAnsi="Arial" w:cs="Arial"/>
          <w:color w:val="000000"/>
          <w:sz w:val="28"/>
          <w:szCs w:val="28"/>
        </w:rPr>
      </w:pPr>
      <w:r w:rsidRPr="00512FF4">
        <w:rPr>
          <w:rStyle w:val="Strong"/>
          <w:rFonts w:ascii="Arial" w:hAnsi="Arial" w:cs="Arial"/>
          <w:color w:val="000000"/>
          <w:sz w:val="28"/>
          <w:szCs w:val="28"/>
        </w:rPr>
        <w:t>Risk Identification Approach</w:t>
      </w:r>
    </w:p>
    <w:p w14:paraId="5E38AC01" w14:textId="77777777" w:rsidR="00D33192" w:rsidRPr="00512FF4" w:rsidRDefault="00D33192" w:rsidP="00512FF4">
      <w:pPr>
        <w:pStyle w:val="font-claude-response-body"/>
        <w:spacing w:before="0" w:beforeAutospacing="0" w:after="0" w:afterAutospacing="0" w:line="276" w:lineRule="auto"/>
        <w:jc w:val="both"/>
        <w:rPr>
          <w:rFonts w:ascii="Arial" w:hAnsi="Arial" w:cs="Arial"/>
          <w:color w:val="000000"/>
          <w:sz w:val="22"/>
          <w:szCs w:val="22"/>
        </w:rPr>
      </w:pPr>
    </w:p>
    <w:p w14:paraId="20672E7E" w14:textId="1ECC40AE" w:rsidR="00D33192" w:rsidRDefault="0001291A" w:rsidP="00512FF4">
      <w:pPr>
        <w:spacing w:line="276" w:lineRule="auto"/>
        <w:jc w:val="both"/>
        <w:rPr>
          <w:color w:val="000000"/>
        </w:rPr>
      </w:pPr>
      <w:r w:rsidRPr="00512FF4">
        <w:rPr>
          <w:color w:val="000000"/>
        </w:rPr>
        <w:t xml:space="preserve">To identify the risks underlying this business plan, a brainstorming approach was applied across Netflix's key operational dimensions, including people, processes, technology, facilities, and external market conditions. This allowed for a wide-ranging exploration of both internal vulnerabilities and external threats, which were then structured within the SWOT framework using </w:t>
      </w:r>
      <w:r w:rsidRPr="00015AAD">
        <w:rPr>
          <w:color w:val="000000"/>
        </w:rPr>
        <w:t xml:space="preserve">an </w:t>
      </w:r>
      <w:r w:rsidR="00015AAD" w:rsidRPr="00015AAD">
        <w:rPr>
          <w:color w:val="000000"/>
        </w:rPr>
        <w:t>Enterprise Risk Management</w:t>
      </w:r>
      <w:r w:rsidR="00015AAD">
        <w:rPr>
          <w:rFonts w:ascii="-webkit-standard" w:hAnsi="-webkit-standard"/>
          <w:color w:val="000000"/>
          <w:sz w:val="27"/>
          <w:szCs w:val="27"/>
        </w:rPr>
        <w:t xml:space="preserve"> </w:t>
      </w:r>
      <w:r w:rsidRPr="00512FF4">
        <w:rPr>
          <w:color w:val="000000"/>
        </w:rPr>
        <w:t xml:space="preserve">lens. The analysis drew on Netflix's current capabilities, the competitive landscape of online education, regulatory </w:t>
      </w:r>
      <w:r w:rsidRPr="00512FF4">
        <w:rPr>
          <w:color w:val="000000"/>
        </w:rPr>
        <w:lastRenderedPageBreak/>
        <w:t>considerations, and the operational challenges of entering a market fundamentally different from entertainment streaming.</w:t>
      </w:r>
    </w:p>
    <w:p w14:paraId="1CDA07F7" w14:textId="36CA30A3" w:rsidR="005F3F91" w:rsidRDefault="005F3F91" w:rsidP="00512FF4">
      <w:pPr>
        <w:spacing w:line="276" w:lineRule="auto"/>
        <w:jc w:val="both"/>
        <w:rPr>
          <w:color w:val="000000"/>
        </w:rPr>
      </w:pPr>
    </w:p>
    <w:p w14:paraId="05B8A167" w14:textId="4907AB48" w:rsidR="005F3F91" w:rsidRDefault="005F3F91" w:rsidP="006A216F">
      <w:pPr>
        <w:rPr>
          <w:b/>
          <w:bCs/>
          <w:sz w:val="28"/>
          <w:szCs w:val="28"/>
        </w:rPr>
      </w:pPr>
      <w:r w:rsidRPr="005F3F91">
        <w:rPr>
          <w:b/>
          <w:bCs/>
          <w:sz w:val="28"/>
          <w:szCs w:val="28"/>
        </w:rPr>
        <w:t>Brainstorming Risk Table</w:t>
      </w:r>
    </w:p>
    <w:p w14:paraId="4642B4D5" w14:textId="08203AC1" w:rsidR="0087420E" w:rsidRDefault="0087420E" w:rsidP="006A216F">
      <w:pPr>
        <w:rPr>
          <w:b/>
          <w:bCs/>
          <w:sz w:val="28"/>
          <w:szCs w:val="28"/>
        </w:rPr>
      </w:pPr>
    </w:p>
    <w:tbl>
      <w:tblPr>
        <w:tblStyle w:val="TableGrid"/>
        <w:tblW w:w="0" w:type="auto"/>
        <w:tblLook w:val="04A0" w:firstRow="1" w:lastRow="0" w:firstColumn="1" w:lastColumn="0" w:noHBand="0" w:noVBand="1"/>
      </w:tblPr>
      <w:tblGrid>
        <w:gridCol w:w="5035"/>
        <w:gridCol w:w="5035"/>
      </w:tblGrid>
      <w:tr w:rsidR="00495783" w14:paraId="716A4412" w14:textId="77777777" w:rsidTr="004835FF">
        <w:tc>
          <w:tcPr>
            <w:tcW w:w="5035" w:type="dxa"/>
            <w:vAlign w:val="center"/>
          </w:tcPr>
          <w:p w14:paraId="3546D2C0" w14:textId="39BEAA58" w:rsidR="00495783" w:rsidRDefault="00495783" w:rsidP="00495783">
            <w:pPr>
              <w:rPr>
                <w:b/>
                <w:bCs/>
                <w:sz w:val="28"/>
                <w:szCs w:val="28"/>
              </w:rPr>
            </w:pPr>
            <w:r w:rsidRPr="000053F2">
              <w:rPr>
                <w:rFonts w:ascii="Times New Roman" w:eastAsia="Times New Roman" w:hAnsi="Times New Roman" w:cs="Times New Roman"/>
                <w:b/>
                <w:bCs/>
              </w:rPr>
              <w:t>Dimension</w:t>
            </w:r>
          </w:p>
        </w:tc>
        <w:tc>
          <w:tcPr>
            <w:tcW w:w="5035" w:type="dxa"/>
            <w:vAlign w:val="center"/>
          </w:tcPr>
          <w:p w14:paraId="790FE251" w14:textId="6299D698" w:rsidR="00495783" w:rsidRDefault="00495783" w:rsidP="00495783">
            <w:pPr>
              <w:rPr>
                <w:b/>
                <w:bCs/>
                <w:sz w:val="28"/>
                <w:szCs w:val="28"/>
              </w:rPr>
            </w:pPr>
            <w:r w:rsidRPr="000053F2">
              <w:rPr>
                <w:rFonts w:ascii="Times New Roman" w:eastAsia="Times New Roman" w:hAnsi="Times New Roman" w:cs="Times New Roman"/>
                <w:b/>
                <w:bCs/>
              </w:rPr>
              <w:t>Raw Risk Identified</w:t>
            </w:r>
          </w:p>
        </w:tc>
      </w:tr>
      <w:tr w:rsidR="00255685" w14:paraId="6F0572F1" w14:textId="77777777" w:rsidTr="00E01CD2">
        <w:tc>
          <w:tcPr>
            <w:tcW w:w="5035" w:type="dxa"/>
            <w:vAlign w:val="center"/>
          </w:tcPr>
          <w:p w14:paraId="14C2501E" w14:textId="688D2C49" w:rsidR="00255685" w:rsidRPr="006166B4" w:rsidRDefault="00255685" w:rsidP="00255685">
            <w:pPr>
              <w:rPr>
                <w:sz w:val="28"/>
                <w:szCs w:val="28"/>
              </w:rPr>
            </w:pPr>
            <w:r w:rsidRPr="006166B4">
              <w:rPr>
                <w:rFonts w:ascii="Times New Roman" w:eastAsia="Times New Roman" w:hAnsi="Times New Roman" w:cs="Times New Roman"/>
              </w:rPr>
              <w:t>People</w:t>
            </w:r>
          </w:p>
        </w:tc>
        <w:tc>
          <w:tcPr>
            <w:tcW w:w="5035" w:type="dxa"/>
            <w:vAlign w:val="center"/>
          </w:tcPr>
          <w:p w14:paraId="0AE8D054" w14:textId="77777777" w:rsidR="00255685" w:rsidRPr="000053F2" w:rsidRDefault="00255685" w:rsidP="00255685">
            <w:pPr>
              <w:pStyle w:val="NormalWeb"/>
            </w:pPr>
            <w:r w:rsidRPr="000053F2">
              <w:t>The company struggles to find staff with EdTech experience, risks losing newly hired talent, faces resistance from engineers unwilling to meet education compliance rules, and lacks specialists in learning design and curriculum development.</w:t>
            </w:r>
          </w:p>
          <w:p w14:paraId="7D883FD3" w14:textId="77777777" w:rsidR="00255685" w:rsidRDefault="00255685" w:rsidP="00255685">
            <w:pPr>
              <w:rPr>
                <w:b/>
                <w:bCs/>
                <w:sz w:val="28"/>
                <w:szCs w:val="28"/>
              </w:rPr>
            </w:pPr>
          </w:p>
        </w:tc>
      </w:tr>
      <w:tr w:rsidR="00C87DAD" w14:paraId="09ED6467" w14:textId="77777777" w:rsidTr="00A94E43">
        <w:tc>
          <w:tcPr>
            <w:tcW w:w="5035" w:type="dxa"/>
            <w:vAlign w:val="center"/>
          </w:tcPr>
          <w:p w14:paraId="3F1779F7" w14:textId="25C79E80" w:rsidR="00C87DAD" w:rsidRPr="006166B4" w:rsidRDefault="00C87DAD" w:rsidP="00C87DAD">
            <w:pPr>
              <w:rPr>
                <w:sz w:val="28"/>
                <w:szCs w:val="28"/>
              </w:rPr>
            </w:pPr>
            <w:r w:rsidRPr="006166B4">
              <w:rPr>
                <w:rFonts w:ascii="Times New Roman" w:eastAsia="Times New Roman" w:hAnsi="Times New Roman" w:cs="Times New Roman"/>
              </w:rPr>
              <w:t>Processes</w:t>
            </w:r>
          </w:p>
        </w:tc>
        <w:tc>
          <w:tcPr>
            <w:tcW w:w="5035" w:type="dxa"/>
            <w:vAlign w:val="center"/>
          </w:tcPr>
          <w:p w14:paraId="761864E5" w14:textId="77777777" w:rsidR="00C87DAD" w:rsidRDefault="00C87DAD" w:rsidP="00C87DAD">
            <w:pPr>
              <w:rPr>
                <w:rFonts w:ascii="Times New Roman" w:hAnsi="Times New Roman" w:cs="Times New Roman"/>
              </w:rPr>
            </w:pPr>
            <w:r w:rsidRPr="000053F2">
              <w:rPr>
                <w:rFonts w:ascii="Times New Roman" w:hAnsi="Times New Roman" w:cs="Times New Roman"/>
              </w:rPr>
              <w:t>There is currently no clear process for approving and certifying course content, and learners have nowhere to turn when they need help or want to raise a concern. Nothing is in place to fairly handle cheating or plagiarism, and there are no agreed timelines for how long it should take to build a course. On top of that, the relationships with university partners lack proper structure, making it unclear who is responsible for what.</w:t>
            </w:r>
          </w:p>
          <w:p w14:paraId="20E3A193" w14:textId="77777777" w:rsidR="00C87DAD" w:rsidRPr="000053F2" w:rsidRDefault="00C87DAD" w:rsidP="00C87DAD">
            <w:pPr>
              <w:spacing w:line="276" w:lineRule="auto"/>
              <w:rPr>
                <w:rFonts w:ascii="Times New Roman" w:hAnsi="Times New Roman" w:cs="Times New Roman"/>
              </w:rPr>
            </w:pPr>
          </w:p>
          <w:p w14:paraId="02AEE0A9" w14:textId="77777777" w:rsidR="00C87DAD" w:rsidRDefault="00C87DAD" w:rsidP="00C87DAD">
            <w:pPr>
              <w:rPr>
                <w:b/>
                <w:bCs/>
                <w:sz w:val="28"/>
                <w:szCs w:val="28"/>
              </w:rPr>
            </w:pPr>
          </w:p>
        </w:tc>
      </w:tr>
      <w:tr w:rsidR="003926F7" w14:paraId="54973BA0" w14:textId="77777777" w:rsidTr="006230F7">
        <w:tc>
          <w:tcPr>
            <w:tcW w:w="5035" w:type="dxa"/>
            <w:vAlign w:val="center"/>
          </w:tcPr>
          <w:p w14:paraId="73316EF3" w14:textId="39CBE3BB" w:rsidR="003926F7" w:rsidRPr="006166B4" w:rsidRDefault="003926F7" w:rsidP="003926F7">
            <w:pPr>
              <w:rPr>
                <w:sz w:val="28"/>
                <w:szCs w:val="28"/>
              </w:rPr>
            </w:pPr>
            <w:r w:rsidRPr="006166B4">
              <w:rPr>
                <w:rFonts w:ascii="Times New Roman" w:eastAsia="Times New Roman" w:hAnsi="Times New Roman" w:cs="Times New Roman"/>
              </w:rPr>
              <w:t>Technology</w:t>
            </w:r>
          </w:p>
        </w:tc>
        <w:tc>
          <w:tcPr>
            <w:tcW w:w="5035" w:type="dxa"/>
            <w:vAlign w:val="center"/>
          </w:tcPr>
          <w:p w14:paraId="5DEC44A3" w14:textId="77777777" w:rsidR="003926F7" w:rsidRPr="000053F2" w:rsidRDefault="003926F7" w:rsidP="003926F7">
            <w:pPr>
              <w:pStyle w:val="NormalWeb"/>
            </w:pPr>
            <w:r w:rsidRPr="000053F2">
              <w:t>The current data systems don't fully meet the privacy laws that protect student and user information. There is no learning platform in place at all, which means the foundation for delivering courses still needs to be built from scratch. There is also a risk that the recommendation system could unintentionally treat some learners unfairly when it starts using personal learning data. Connecting with outside systems from university and corporate partners could open security weaknesses. On top of that, when classes are happening live, learners expect the platform to always be available, which puts much greater pressure on system reliability.</w:t>
            </w:r>
          </w:p>
          <w:p w14:paraId="4A7A6591" w14:textId="77777777" w:rsidR="003926F7" w:rsidRDefault="003926F7" w:rsidP="003926F7">
            <w:pPr>
              <w:rPr>
                <w:b/>
                <w:bCs/>
                <w:sz w:val="28"/>
                <w:szCs w:val="28"/>
              </w:rPr>
            </w:pPr>
          </w:p>
        </w:tc>
      </w:tr>
      <w:tr w:rsidR="007C0FE6" w14:paraId="73E35C69" w14:textId="77777777" w:rsidTr="00351DCB">
        <w:tc>
          <w:tcPr>
            <w:tcW w:w="5035" w:type="dxa"/>
            <w:vAlign w:val="center"/>
          </w:tcPr>
          <w:p w14:paraId="48D73BB2" w14:textId="3628C576" w:rsidR="007C0FE6" w:rsidRPr="006166B4" w:rsidRDefault="007C0FE6" w:rsidP="007C0FE6">
            <w:pPr>
              <w:rPr>
                <w:sz w:val="28"/>
                <w:szCs w:val="28"/>
              </w:rPr>
            </w:pPr>
            <w:r w:rsidRPr="006166B4">
              <w:rPr>
                <w:rFonts w:ascii="Times New Roman" w:eastAsia="Times New Roman" w:hAnsi="Times New Roman" w:cs="Times New Roman"/>
              </w:rPr>
              <w:t>Facilities</w:t>
            </w:r>
          </w:p>
        </w:tc>
        <w:tc>
          <w:tcPr>
            <w:tcW w:w="5035" w:type="dxa"/>
            <w:vAlign w:val="center"/>
          </w:tcPr>
          <w:p w14:paraId="552C01F4" w14:textId="77777777" w:rsidR="007C0FE6" w:rsidRPr="000053F2" w:rsidRDefault="007C0FE6" w:rsidP="007C0FE6">
            <w:pPr>
              <w:pStyle w:val="NormalWeb"/>
            </w:pPr>
            <w:r w:rsidRPr="000053F2">
              <w:t xml:space="preserve">Storing learner data on servers based in the United States may create legal issues for users in Europe, as EU privacy regulations have strict rules about where personal data can be held and transferred. While there is no need for physical classrooms or exam centers, choosing which </w:t>
            </w:r>
            <w:r w:rsidRPr="000053F2">
              <w:lastRenderedPageBreak/>
              <w:t>cloud region to store data in is not simply a technical decision, it carries rea</w:t>
            </w:r>
            <w:r>
              <w:t xml:space="preserve">l </w:t>
            </w:r>
            <w:r w:rsidRPr="000053F2">
              <w:t>legal and compliance weight that needs to be carefully considered.</w:t>
            </w:r>
          </w:p>
          <w:p w14:paraId="0419FBF3" w14:textId="77777777" w:rsidR="007C0FE6" w:rsidRDefault="007C0FE6" w:rsidP="007C0FE6">
            <w:pPr>
              <w:rPr>
                <w:b/>
                <w:bCs/>
                <w:sz w:val="28"/>
                <w:szCs w:val="28"/>
              </w:rPr>
            </w:pPr>
          </w:p>
        </w:tc>
      </w:tr>
      <w:tr w:rsidR="00924B22" w14:paraId="2DF7DDB2" w14:textId="77777777" w:rsidTr="00792CD3">
        <w:tc>
          <w:tcPr>
            <w:tcW w:w="5035" w:type="dxa"/>
            <w:vAlign w:val="center"/>
          </w:tcPr>
          <w:p w14:paraId="745D1EC1" w14:textId="5CCAE57A" w:rsidR="00924B22" w:rsidRPr="000036E1" w:rsidRDefault="00924B22" w:rsidP="00924B22">
            <w:pPr>
              <w:rPr>
                <w:sz w:val="28"/>
                <w:szCs w:val="28"/>
              </w:rPr>
            </w:pPr>
            <w:r w:rsidRPr="000036E1">
              <w:rPr>
                <w:rFonts w:ascii="Times New Roman" w:eastAsia="Times New Roman" w:hAnsi="Times New Roman" w:cs="Times New Roman"/>
              </w:rPr>
              <w:lastRenderedPageBreak/>
              <w:t>External/Market</w:t>
            </w:r>
          </w:p>
        </w:tc>
        <w:tc>
          <w:tcPr>
            <w:tcW w:w="5035" w:type="dxa"/>
            <w:vAlign w:val="center"/>
          </w:tcPr>
          <w:p w14:paraId="3371C0A2" w14:textId="6A18641C" w:rsidR="00924B22" w:rsidRDefault="008D283B" w:rsidP="00924B22">
            <w:pPr>
              <w:rPr>
                <w:b/>
                <w:bCs/>
                <w:sz w:val="28"/>
                <w:szCs w:val="28"/>
              </w:rPr>
            </w:pPr>
            <w:r>
              <w:t>Established online learning platforms such as Coursera, Udemy, LinkedIn Learning, and emerging AI-supported learning tools pose strong competition.</w:t>
            </w:r>
            <w:r w:rsidR="006620AB">
              <w:t xml:space="preserve"> </w:t>
            </w:r>
            <w:r w:rsidR="00924B22" w:rsidRPr="000053F2">
              <w:t>employers may question the credibility of Netflix-branded credentials, varying regulations across countries create compliance challenges, and expanding student privacy laws in the U.S. add further legal complexity.</w:t>
            </w:r>
          </w:p>
        </w:tc>
      </w:tr>
    </w:tbl>
    <w:p w14:paraId="577ABCC1" w14:textId="77777777" w:rsidR="0087420E" w:rsidRDefault="0087420E" w:rsidP="006A216F">
      <w:pPr>
        <w:rPr>
          <w:b/>
          <w:bCs/>
          <w:sz w:val="28"/>
          <w:szCs w:val="28"/>
        </w:rPr>
      </w:pPr>
    </w:p>
    <w:p w14:paraId="2EB5CFA5" w14:textId="77777777" w:rsidR="00624B5B" w:rsidRDefault="00624B5B" w:rsidP="006A216F">
      <w:pPr>
        <w:rPr>
          <w:b/>
          <w:bCs/>
          <w:sz w:val="28"/>
          <w:szCs w:val="28"/>
        </w:rPr>
      </w:pPr>
    </w:p>
    <w:p w14:paraId="07660500" w14:textId="299FE7A5" w:rsidR="00624B5B" w:rsidRDefault="00624B5B" w:rsidP="00624B5B">
      <w:pPr>
        <w:jc w:val="both"/>
        <w:rPr>
          <w:b/>
          <w:bCs/>
          <w:sz w:val="28"/>
          <w:szCs w:val="28"/>
        </w:rPr>
      </w:pPr>
      <w:r>
        <w:t>The brainstorming table above helped the group identify early risk areas before placing them into the SWOT framework. By reviewing people, processes, technology, facilities, and external market conditions, the team was able to connect Netflix’s proposed expansion into online education with practical ERM concerns. These risks were then used to guide the SWOT analysis, the development of Key Risk Indicators, and the recommended controls.</w:t>
      </w:r>
    </w:p>
    <w:p w14:paraId="2F70FD35" w14:textId="77777777" w:rsidR="005F3F91" w:rsidRPr="005F3F91" w:rsidRDefault="005F3F91" w:rsidP="00624B5B">
      <w:pPr>
        <w:jc w:val="both"/>
        <w:rPr>
          <w:b/>
          <w:bCs/>
          <w:sz w:val="28"/>
          <w:szCs w:val="28"/>
        </w:rPr>
      </w:pPr>
    </w:p>
    <w:p w14:paraId="197DBBB2" w14:textId="77777777" w:rsidR="00D33192" w:rsidRPr="00512FF4" w:rsidRDefault="00D33192" w:rsidP="00512FF4">
      <w:pPr>
        <w:spacing w:line="276" w:lineRule="auto"/>
        <w:jc w:val="both"/>
        <w:rPr>
          <w:b/>
          <w:bCs/>
        </w:rPr>
      </w:pPr>
    </w:p>
    <w:p w14:paraId="25A7EB8A" w14:textId="59FC5F9F" w:rsidR="007346A1" w:rsidRPr="00491BCA" w:rsidRDefault="00BB524A" w:rsidP="00512FF4">
      <w:pPr>
        <w:spacing w:line="276" w:lineRule="auto"/>
        <w:jc w:val="both"/>
        <w:rPr>
          <w:b/>
          <w:bCs/>
          <w:sz w:val="28"/>
          <w:szCs w:val="28"/>
        </w:rPr>
      </w:pPr>
      <w:r w:rsidRPr="00491BCA">
        <w:rPr>
          <w:b/>
          <w:bCs/>
          <w:sz w:val="28"/>
          <w:szCs w:val="28"/>
        </w:rPr>
        <w:t>Key Risk Indicators (KRIs)</w:t>
      </w:r>
    </w:p>
    <w:p w14:paraId="512DE2BA" w14:textId="77777777" w:rsidR="00D33192" w:rsidRPr="00512FF4" w:rsidRDefault="00D33192" w:rsidP="00512FF4">
      <w:pPr>
        <w:spacing w:line="276" w:lineRule="auto"/>
        <w:jc w:val="both"/>
      </w:pPr>
    </w:p>
    <w:p w14:paraId="3603DA29" w14:textId="77777777" w:rsidR="007346A1" w:rsidRPr="00512FF4" w:rsidRDefault="00BB524A" w:rsidP="00512FF4">
      <w:pPr>
        <w:spacing w:line="276" w:lineRule="auto"/>
        <w:jc w:val="both"/>
      </w:pPr>
      <w:r w:rsidRPr="00512FF4">
        <w:t>The following KRIs have been developed in relation to Netflix's people, processes, technology, facilities, and other critical operational elements associated with the expansion into online education:</w:t>
      </w:r>
    </w:p>
    <w:p w14:paraId="49760CD9" w14:textId="77777777" w:rsidR="00300ED0" w:rsidRPr="00512FF4" w:rsidRDefault="00300ED0" w:rsidP="00512FF4">
      <w:pPr>
        <w:spacing w:line="276" w:lineRule="auto"/>
        <w:jc w:val="both"/>
      </w:pPr>
    </w:p>
    <w:p w14:paraId="7865C48D" w14:textId="1C301106" w:rsidR="00D33192" w:rsidRPr="00512FF4" w:rsidRDefault="00BB524A" w:rsidP="00F74A07">
      <w:pPr>
        <w:pStyle w:val="ListParagraph"/>
        <w:numPr>
          <w:ilvl w:val="0"/>
          <w:numId w:val="2"/>
        </w:numPr>
        <w:spacing w:line="276" w:lineRule="auto"/>
        <w:jc w:val="both"/>
      </w:pPr>
      <w:r w:rsidRPr="00F74A07">
        <w:rPr>
          <w:b/>
          <w:bCs/>
          <w:sz w:val="24"/>
          <w:szCs w:val="24"/>
        </w:rPr>
        <w:t>People</w:t>
      </w:r>
    </w:p>
    <w:p w14:paraId="32C71F12" w14:textId="3A6D5D40" w:rsidR="00512FF4" w:rsidRDefault="00491BCA" w:rsidP="00512FF4">
      <w:pPr>
        <w:spacing w:line="276" w:lineRule="auto"/>
        <w:jc w:val="both"/>
        <w:rPr>
          <w:rFonts w:eastAsia="Times New Roman"/>
        </w:rPr>
      </w:pPr>
      <w:r>
        <w:rPr>
          <w:rFonts w:eastAsia="Times New Roman"/>
        </w:rPr>
        <w:tab/>
      </w:r>
      <w:r w:rsidR="0001291A" w:rsidRPr="00491BCA">
        <w:rPr>
          <w:rFonts w:eastAsia="Times New Roman"/>
          <w:b/>
          <w:bCs/>
        </w:rPr>
        <w:t>KRI 1:</w:t>
      </w:r>
      <w:r w:rsidR="0001291A" w:rsidRPr="00512FF4">
        <w:rPr>
          <w:rFonts w:eastAsia="Times New Roman"/>
        </w:rPr>
        <w:t xml:space="preserve"> Employee attrition rate within the newly formed education division (target: below 10% annually)</w:t>
      </w:r>
      <w:r>
        <w:rPr>
          <w:rFonts w:eastAsia="Times New Roman"/>
        </w:rPr>
        <w:t>.</w:t>
      </w:r>
    </w:p>
    <w:p w14:paraId="6D23A6D8" w14:textId="46AD381B" w:rsidR="00D33192" w:rsidRDefault="00491BCA" w:rsidP="00512FF4">
      <w:pPr>
        <w:spacing w:line="276" w:lineRule="auto"/>
        <w:jc w:val="both"/>
        <w:rPr>
          <w:rFonts w:eastAsia="Times New Roman"/>
        </w:rPr>
      </w:pPr>
      <w:r>
        <w:rPr>
          <w:rFonts w:eastAsia="Times New Roman"/>
        </w:rPr>
        <w:tab/>
      </w:r>
      <w:r w:rsidR="0001291A" w:rsidRPr="00491BCA">
        <w:rPr>
          <w:rFonts w:eastAsia="Times New Roman"/>
          <w:b/>
          <w:bCs/>
        </w:rPr>
        <w:t>KRI 2:</w:t>
      </w:r>
      <w:r w:rsidR="0001291A" w:rsidRPr="00512FF4">
        <w:rPr>
          <w:rFonts w:eastAsia="Times New Roman"/>
        </w:rPr>
        <w:t xml:space="preserve"> Percentage of education team staff with relevant </w:t>
      </w:r>
      <w:r w:rsidR="00397E09" w:rsidRPr="00397E09">
        <w:rPr>
          <w:rFonts w:eastAsia="Times New Roman"/>
        </w:rPr>
        <w:t>“</w:t>
      </w:r>
      <w:r w:rsidR="00397E09" w:rsidRPr="00397E09">
        <w:rPr>
          <w:color w:val="000000"/>
        </w:rPr>
        <w:t>Educational Technology”</w:t>
      </w:r>
      <w:r w:rsidR="0001291A" w:rsidRPr="00512FF4">
        <w:rPr>
          <w:rFonts w:eastAsia="Times New Roman"/>
        </w:rPr>
        <w:t xml:space="preserve"> expertise</w:t>
      </w:r>
      <w:r>
        <w:rPr>
          <w:rFonts w:eastAsia="Times New Roman"/>
        </w:rPr>
        <w:t>.</w:t>
      </w:r>
    </w:p>
    <w:p w14:paraId="3C6DD452" w14:textId="77777777" w:rsidR="00512FF4" w:rsidRPr="00512FF4" w:rsidRDefault="00512FF4" w:rsidP="00512FF4">
      <w:pPr>
        <w:spacing w:line="276" w:lineRule="auto"/>
        <w:jc w:val="both"/>
        <w:rPr>
          <w:rFonts w:eastAsia="Times New Roman"/>
        </w:rPr>
      </w:pPr>
    </w:p>
    <w:p w14:paraId="120760E9" w14:textId="7B09E440" w:rsidR="00D33192" w:rsidRPr="00512FF4" w:rsidRDefault="00BB524A" w:rsidP="00F74A07">
      <w:pPr>
        <w:pStyle w:val="ListParagraph"/>
        <w:numPr>
          <w:ilvl w:val="0"/>
          <w:numId w:val="2"/>
        </w:numPr>
        <w:spacing w:line="276" w:lineRule="auto"/>
        <w:jc w:val="both"/>
      </w:pPr>
      <w:r w:rsidRPr="00F74A07">
        <w:rPr>
          <w:b/>
          <w:bCs/>
          <w:sz w:val="24"/>
          <w:szCs w:val="24"/>
        </w:rPr>
        <w:t>Processes</w:t>
      </w:r>
    </w:p>
    <w:p w14:paraId="2F0F012B" w14:textId="4622C5EF" w:rsidR="00512FF4" w:rsidRDefault="00491BCA" w:rsidP="00512FF4">
      <w:pPr>
        <w:spacing w:line="276" w:lineRule="auto"/>
        <w:jc w:val="both"/>
        <w:rPr>
          <w:rFonts w:eastAsia="Times New Roman"/>
        </w:rPr>
      </w:pPr>
      <w:r>
        <w:rPr>
          <w:rFonts w:eastAsia="Times New Roman"/>
        </w:rPr>
        <w:tab/>
      </w:r>
      <w:r w:rsidR="0001291A" w:rsidRPr="00491BCA">
        <w:rPr>
          <w:rFonts w:eastAsia="Times New Roman"/>
          <w:b/>
          <w:bCs/>
        </w:rPr>
        <w:t>KRI 3:</w:t>
      </w:r>
      <w:r w:rsidR="0001291A" w:rsidRPr="00512FF4">
        <w:rPr>
          <w:rFonts w:eastAsia="Times New Roman"/>
        </w:rPr>
        <w:t xml:space="preserve"> Number of compliance violations related to educational content standards per quarter</w:t>
      </w:r>
      <w:r>
        <w:rPr>
          <w:rFonts w:eastAsia="Times New Roman"/>
        </w:rPr>
        <w:t>.</w:t>
      </w:r>
    </w:p>
    <w:p w14:paraId="5BBC0F9C" w14:textId="3F104362" w:rsidR="00D33192" w:rsidRPr="00512FF4" w:rsidRDefault="00491BCA" w:rsidP="00512FF4">
      <w:pPr>
        <w:spacing w:line="276" w:lineRule="auto"/>
        <w:jc w:val="both"/>
        <w:rPr>
          <w:rFonts w:eastAsia="Times New Roman"/>
        </w:rPr>
      </w:pPr>
      <w:r>
        <w:rPr>
          <w:rFonts w:eastAsia="Times New Roman"/>
        </w:rPr>
        <w:tab/>
      </w:r>
      <w:r w:rsidR="0001291A" w:rsidRPr="00491BCA">
        <w:rPr>
          <w:rFonts w:eastAsia="Times New Roman"/>
          <w:b/>
          <w:bCs/>
        </w:rPr>
        <w:t>KRI 4:</w:t>
      </w:r>
      <w:r w:rsidR="0001291A" w:rsidRPr="00512FF4">
        <w:rPr>
          <w:rFonts w:eastAsia="Times New Roman"/>
        </w:rPr>
        <w:t xml:space="preserve"> Average time from course development to publication, measured against defined SLA</w:t>
      </w:r>
      <w:r>
        <w:rPr>
          <w:rFonts w:eastAsia="Times New Roman"/>
        </w:rPr>
        <w:t>.</w:t>
      </w:r>
    </w:p>
    <w:p w14:paraId="7DDC9772" w14:textId="77777777" w:rsidR="0001291A" w:rsidRPr="00512FF4" w:rsidRDefault="0001291A" w:rsidP="00512FF4">
      <w:pPr>
        <w:spacing w:line="276" w:lineRule="auto"/>
        <w:ind w:left="360"/>
        <w:jc w:val="both"/>
      </w:pPr>
    </w:p>
    <w:p w14:paraId="670AA779" w14:textId="4586599F" w:rsidR="00D33192" w:rsidRPr="00512FF4" w:rsidRDefault="00BB524A" w:rsidP="00F74A07">
      <w:pPr>
        <w:pStyle w:val="ListParagraph"/>
        <w:numPr>
          <w:ilvl w:val="0"/>
          <w:numId w:val="2"/>
        </w:numPr>
        <w:spacing w:line="276" w:lineRule="auto"/>
        <w:jc w:val="both"/>
      </w:pPr>
      <w:r w:rsidRPr="00F74A07">
        <w:rPr>
          <w:b/>
          <w:bCs/>
          <w:sz w:val="24"/>
          <w:szCs w:val="24"/>
        </w:rPr>
        <w:t>Technology &amp; Information Security</w:t>
      </w:r>
    </w:p>
    <w:p w14:paraId="2E69E36F" w14:textId="09CA8218" w:rsidR="0001291A" w:rsidRPr="00512FF4" w:rsidRDefault="00491BCA" w:rsidP="00512FF4">
      <w:pPr>
        <w:spacing w:line="276" w:lineRule="auto"/>
        <w:jc w:val="both"/>
        <w:rPr>
          <w:rFonts w:eastAsia="Times New Roman"/>
        </w:rPr>
      </w:pPr>
      <w:r>
        <w:rPr>
          <w:rFonts w:eastAsia="Times New Roman"/>
        </w:rPr>
        <w:tab/>
      </w:r>
      <w:r w:rsidR="0001291A" w:rsidRPr="00491BCA">
        <w:rPr>
          <w:rFonts w:eastAsia="Times New Roman"/>
          <w:b/>
          <w:bCs/>
        </w:rPr>
        <w:t>KRI 5:</w:t>
      </w:r>
      <w:r w:rsidR="0001291A" w:rsidRPr="00512FF4">
        <w:rPr>
          <w:rFonts w:eastAsia="Times New Roman"/>
        </w:rPr>
        <w:t xml:space="preserve"> Number of data security incidents involving learner personal data per quarter</w:t>
      </w:r>
      <w:r>
        <w:rPr>
          <w:rFonts w:eastAsia="Times New Roman"/>
        </w:rPr>
        <w:t>.</w:t>
      </w:r>
    </w:p>
    <w:p w14:paraId="35787F3F" w14:textId="6DF5CD1B" w:rsidR="00512FF4" w:rsidRDefault="00491BCA" w:rsidP="00512FF4">
      <w:pPr>
        <w:spacing w:line="276" w:lineRule="auto"/>
        <w:jc w:val="both"/>
        <w:rPr>
          <w:rFonts w:eastAsia="Times New Roman"/>
        </w:rPr>
      </w:pPr>
      <w:r>
        <w:rPr>
          <w:rFonts w:eastAsia="Times New Roman"/>
        </w:rPr>
        <w:tab/>
      </w:r>
      <w:r w:rsidR="0001291A" w:rsidRPr="00491BCA">
        <w:rPr>
          <w:rFonts w:eastAsia="Times New Roman"/>
          <w:b/>
          <w:bCs/>
        </w:rPr>
        <w:t>KRI 6:</w:t>
      </w:r>
      <w:r w:rsidR="0001291A" w:rsidRPr="00512FF4">
        <w:rPr>
          <w:rFonts w:eastAsia="Times New Roman"/>
        </w:rPr>
        <w:t xml:space="preserve"> Platform uptime percentage for educational services (target: 99.9%)</w:t>
      </w:r>
      <w:r>
        <w:rPr>
          <w:rFonts w:eastAsia="Times New Roman"/>
        </w:rPr>
        <w:t>.</w:t>
      </w:r>
    </w:p>
    <w:p w14:paraId="722A8EA9" w14:textId="38ED7ACE" w:rsidR="00D33192" w:rsidRPr="00512FF4" w:rsidRDefault="00491BCA" w:rsidP="00512FF4">
      <w:pPr>
        <w:spacing w:line="276" w:lineRule="auto"/>
        <w:jc w:val="both"/>
        <w:rPr>
          <w:rFonts w:eastAsia="Times New Roman"/>
        </w:rPr>
      </w:pPr>
      <w:r>
        <w:rPr>
          <w:rFonts w:eastAsia="Times New Roman"/>
        </w:rPr>
        <w:tab/>
      </w:r>
      <w:r w:rsidR="0001291A" w:rsidRPr="00491BCA">
        <w:rPr>
          <w:rFonts w:eastAsia="Times New Roman"/>
          <w:b/>
          <w:bCs/>
        </w:rPr>
        <w:t>KRI 7:</w:t>
      </w:r>
      <w:r w:rsidR="0001291A" w:rsidRPr="00512FF4">
        <w:rPr>
          <w:rFonts w:eastAsia="Times New Roman"/>
        </w:rPr>
        <w:t xml:space="preserve"> Percentage of systems compliant with GDPR and FERPA data privacy requirements</w:t>
      </w:r>
      <w:r>
        <w:rPr>
          <w:rFonts w:eastAsia="Times New Roman"/>
        </w:rPr>
        <w:t>.</w:t>
      </w:r>
    </w:p>
    <w:p w14:paraId="016CB302" w14:textId="77777777" w:rsidR="0001291A" w:rsidRPr="00512FF4" w:rsidRDefault="0001291A" w:rsidP="00512FF4">
      <w:pPr>
        <w:spacing w:line="276" w:lineRule="auto"/>
        <w:ind w:left="360"/>
        <w:jc w:val="both"/>
      </w:pPr>
    </w:p>
    <w:p w14:paraId="243D76D3" w14:textId="4E28F1AB" w:rsidR="00D33192" w:rsidRPr="00512FF4" w:rsidRDefault="00BB524A" w:rsidP="00F74A07">
      <w:pPr>
        <w:pStyle w:val="ListParagraph"/>
        <w:numPr>
          <w:ilvl w:val="0"/>
          <w:numId w:val="2"/>
        </w:numPr>
        <w:spacing w:line="276" w:lineRule="auto"/>
        <w:jc w:val="both"/>
      </w:pPr>
      <w:r w:rsidRPr="00F74A07">
        <w:rPr>
          <w:b/>
          <w:bCs/>
          <w:sz w:val="24"/>
          <w:szCs w:val="24"/>
        </w:rPr>
        <w:t>Financial</w:t>
      </w:r>
    </w:p>
    <w:p w14:paraId="70A932BD" w14:textId="6D04A879" w:rsidR="00512FF4" w:rsidRDefault="00491BCA" w:rsidP="00512FF4">
      <w:pPr>
        <w:spacing w:line="276" w:lineRule="auto"/>
        <w:jc w:val="both"/>
        <w:rPr>
          <w:rFonts w:eastAsia="Times New Roman"/>
        </w:rPr>
      </w:pPr>
      <w:r>
        <w:rPr>
          <w:rFonts w:eastAsia="Times New Roman"/>
        </w:rPr>
        <w:tab/>
      </w:r>
      <w:r w:rsidR="0001291A" w:rsidRPr="00491BCA">
        <w:rPr>
          <w:rFonts w:eastAsia="Times New Roman"/>
          <w:b/>
          <w:bCs/>
        </w:rPr>
        <w:t>KRI 8:</w:t>
      </w:r>
      <w:r w:rsidR="0001291A" w:rsidRPr="00512FF4">
        <w:rPr>
          <w:rFonts w:eastAsia="Times New Roman"/>
        </w:rPr>
        <w:t xml:space="preserve"> Return on investment (ROI) for the education division within 24 months of launch</w:t>
      </w:r>
      <w:r>
        <w:rPr>
          <w:rFonts w:eastAsia="Times New Roman"/>
        </w:rPr>
        <w:t>.</w:t>
      </w:r>
    </w:p>
    <w:p w14:paraId="5D7731F7" w14:textId="4926B543" w:rsidR="00300ED0" w:rsidRDefault="00491BCA" w:rsidP="00512FF4">
      <w:pPr>
        <w:spacing w:line="276" w:lineRule="auto"/>
        <w:jc w:val="both"/>
        <w:rPr>
          <w:rFonts w:eastAsia="Times New Roman"/>
        </w:rPr>
      </w:pPr>
      <w:r>
        <w:rPr>
          <w:rFonts w:eastAsia="Times New Roman"/>
        </w:rPr>
        <w:tab/>
      </w:r>
      <w:r w:rsidR="0001291A" w:rsidRPr="00491BCA">
        <w:rPr>
          <w:rFonts w:eastAsia="Times New Roman"/>
          <w:b/>
          <w:bCs/>
        </w:rPr>
        <w:t>KRI 9:</w:t>
      </w:r>
      <w:r w:rsidR="0001291A" w:rsidRPr="00512FF4">
        <w:rPr>
          <w:rFonts w:eastAsia="Times New Roman"/>
        </w:rPr>
        <w:t xml:space="preserve"> Monthly churn rate among education subscribers (target: below 5%)</w:t>
      </w:r>
      <w:r>
        <w:rPr>
          <w:rFonts w:eastAsia="Times New Roman"/>
        </w:rPr>
        <w:t>.</w:t>
      </w:r>
    </w:p>
    <w:p w14:paraId="6DD463F2" w14:textId="77777777" w:rsidR="00B72156" w:rsidRPr="00512FF4" w:rsidRDefault="00B72156" w:rsidP="00512FF4">
      <w:pPr>
        <w:spacing w:line="276" w:lineRule="auto"/>
        <w:jc w:val="both"/>
        <w:rPr>
          <w:rFonts w:eastAsia="Times New Roman"/>
        </w:rPr>
      </w:pPr>
    </w:p>
    <w:p w14:paraId="31832419" w14:textId="0F0CA342" w:rsidR="00B72156" w:rsidRDefault="00300ED0" w:rsidP="00F74A07">
      <w:pPr>
        <w:pStyle w:val="font-claude-response-body"/>
        <w:numPr>
          <w:ilvl w:val="0"/>
          <w:numId w:val="2"/>
        </w:numPr>
        <w:spacing w:before="0" w:beforeAutospacing="0" w:after="0" w:afterAutospacing="0" w:line="276" w:lineRule="auto"/>
        <w:jc w:val="both"/>
        <w:rPr>
          <w:rStyle w:val="Strong"/>
          <w:rFonts w:ascii="Arial" w:hAnsi="Arial" w:cs="Arial"/>
          <w:color w:val="000000"/>
        </w:rPr>
      </w:pPr>
      <w:r w:rsidRPr="00491BCA">
        <w:rPr>
          <w:rStyle w:val="Strong"/>
          <w:rFonts w:ascii="Arial" w:hAnsi="Arial" w:cs="Arial"/>
          <w:color w:val="000000"/>
        </w:rPr>
        <w:t>Facilities</w:t>
      </w:r>
    </w:p>
    <w:p w14:paraId="54BC2A1B" w14:textId="4EE0E102" w:rsidR="00300ED0" w:rsidRPr="00512FF4" w:rsidRDefault="00F74A07" w:rsidP="00B72156">
      <w:pPr>
        <w:pStyle w:val="font-claude-response-body"/>
        <w:spacing w:before="0" w:beforeAutospacing="0" w:after="0" w:afterAutospacing="0" w:line="276" w:lineRule="auto"/>
        <w:jc w:val="both"/>
        <w:rPr>
          <w:rFonts w:ascii="Arial" w:hAnsi="Arial" w:cs="Arial"/>
          <w:color w:val="000000"/>
          <w:sz w:val="22"/>
          <w:szCs w:val="22"/>
        </w:rPr>
      </w:pPr>
      <w:r>
        <w:rPr>
          <w:rFonts w:ascii="Arial" w:hAnsi="Arial" w:cs="Arial"/>
          <w:color w:val="000000"/>
          <w:sz w:val="22"/>
          <w:szCs w:val="22"/>
        </w:rPr>
        <w:tab/>
      </w:r>
      <w:r w:rsidR="0001291A" w:rsidRPr="00512FF4">
        <w:rPr>
          <w:rFonts w:ascii="Arial" w:hAnsi="Arial" w:cs="Arial"/>
          <w:color w:val="000000"/>
          <w:sz w:val="22"/>
          <w:szCs w:val="22"/>
        </w:rPr>
        <w:t>Given Netflix's fully digital business model, traditional physical facilities risk does not apply. Data center availability and infrastructure reliability are captured under the Technology &amp; Information Security KRIs above.</w:t>
      </w:r>
    </w:p>
    <w:p w14:paraId="0E3D5E21" w14:textId="77777777" w:rsidR="0001291A" w:rsidRDefault="0001291A" w:rsidP="00512FF4">
      <w:pPr>
        <w:spacing w:line="276" w:lineRule="auto"/>
        <w:ind w:left="360"/>
        <w:jc w:val="both"/>
      </w:pPr>
    </w:p>
    <w:p w14:paraId="36F03234" w14:textId="77777777" w:rsidR="00F74A07" w:rsidRPr="00512FF4" w:rsidRDefault="00F74A07" w:rsidP="00512FF4">
      <w:pPr>
        <w:spacing w:line="276" w:lineRule="auto"/>
        <w:ind w:left="360"/>
        <w:jc w:val="both"/>
      </w:pPr>
    </w:p>
    <w:p w14:paraId="0A43F336" w14:textId="77777777" w:rsidR="007346A1" w:rsidRPr="00491BCA" w:rsidRDefault="00BB524A" w:rsidP="00512FF4">
      <w:pPr>
        <w:spacing w:line="276" w:lineRule="auto"/>
        <w:jc w:val="both"/>
        <w:rPr>
          <w:b/>
          <w:bCs/>
          <w:sz w:val="28"/>
          <w:szCs w:val="28"/>
        </w:rPr>
      </w:pPr>
      <w:r w:rsidRPr="00491BCA">
        <w:rPr>
          <w:b/>
          <w:bCs/>
          <w:sz w:val="28"/>
          <w:szCs w:val="28"/>
        </w:rPr>
        <w:t>Contributing Factors and Controls</w:t>
      </w:r>
    </w:p>
    <w:p w14:paraId="23037106" w14:textId="77777777" w:rsidR="00D33192" w:rsidRPr="00512FF4" w:rsidRDefault="00D33192" w:rsidP="00512FF4">
      <w:pPr>
        <w:spacing w:line="276" w:lineRule="auto"/>
        <w:jc w:val="both"/>
      </w:pPr>
    </w:p>
    <w:p w14:paraId="6BD614DD" w14:textId="77777777" w:rsidR="007346A1" w:rsidRPr="00512FF4" w:rsidRDefault="00BB524A" w:rsidP="00512FF4">
      <w:pPr>
        <w:spacing w:line="276" w:lineRule="auto"/>
        <w:jc w:val="both"/>
      </w:pPr>
      <w:r w:rsidRPr="00512FF4">
        <w:t>The following is a preliminary list of contributing factors and controls for the primary risks identified in the SWOT analysis:</w:t>
      </w:r>
    </w:p>
    <w:p w14:paraId="5053EE7F" w14:textId="77777777" w:rsidR="00D33192" w:rsidRPr="00512FF4" w:rsidRDefault="00D33192" w:rsidP="00512FF4">
      <w:pPr>
        <w:spacing w:line="276" w:lineRule="auto"/>
        <w:jc w:val="both"/>
      </w:pPr>
    </w:p>
    <w:p w14:paraId="3BC9291B" w14:textId="77777777" w:rsidR="00F74A07" w:rsidRDefault="00BB524A" w:rsidP="00F74A07">
      <w:pPr>
        <w:spacing w:line="276" w:lineRule="auto"/>
        <w:jc w:val="both"/>
        <w:rPr>
          <w:b/>
          <w:bCs/>
          <w:sz w:val="24"/>
          <w:szCs w:val="24"/>
        </w:rPr>
      </w:pPr>
      <w:r w:rsidRPr="008E05A9">
        <w:rPr>
          <w:b/>
          <w:bCs/>
          <w:sz w:val="24"/>
          <w:szCs w:val="24"/>
        </w:rPr>
        <w:t>Risk 1: Brand Perception Mismatch</w:t>
      </w:r>
    </w:p>
    <w:p w14:paraId="7D1598A1" w14:textId="77777777" w:rsidR="00F74A07" w:rsidRDefault="00F74A07" w:rsidP="00F74A07">
      <w:pPr>
        <w:spacing w:line="276" w:lineRule="auto"/>
        <w:jc w:val="both"/>
        <w:rPr>
          <w:b/>
          <w:bCs/>
          <w:sz w:val="24"/>
          <w:szCs w:val="24"/>
        </w:rPr>
      </w:pPr>
    </w:p>
    <w:p w14:paraId="53A372EE" w14:textId="2F3AC7F4" w:rsidR="00F74A07" w:rsidRPr="00F74A07" w:rsidRDefault="0001291A" w:rsidP="00F74A07">
      <w:pPr>
        <w:pStyle w:val="ListParagraph"/>
        <w:numPr>
          <w:ilvl w:val="0"/>
          <w:numId w:val="4"/>
        </w:numPr>
        <w:spacing w:line="276" w:lineRule="auto"/>
        <w:jc w:val="both"/>
        <w:rPr>
          <w:rFonts w:eastAsia="Times New Roman"/>
          <w:b/>
          <w:bCs/>
        </w:rPr>
      </w:pPr>
      <w:r w:rsidRPr="00F74A07">
        <w:rPr>
          <w:rFonts w:eastAsia="Times New Roman"/>
          <w:b/>
          <w:bCs/>
        </w:rPr>
        <w:t xml:space="preserve">Contributing Factors: </w:t>
      </w:r>
      <w:r w:rsidRPr="00F74A07">
        <w:rPr>
          <w:rFonts w:eastAsia="Times New Roman"/>
        </w:rPr>
        <w:t>Strong entertainment brand association; limited academic credibility; potential resistance from institutional partners</w:t>
      </w:r>
      <w:r w:rsidR="008E05A9" w:rsidRPr="00F74A07">
        <w:rPr>
          <w:rFonts w:eastAsia="Times New Roman"/>
        </w:rPr>
        <w:t>.</w:t>
      </w:r>
    </w:p>
    <w:p w14:paraId="3E6E9933" w14:textId="445D8AD2" w:rsidR="00D33192" w:rsidRPr="00F74A07" w:rsidRDefault="0001291A" w:rsidP="00F74A07">
      <w:pPr>
        <w:pStyle w:val="ListParagraph"/>
        <w:numPr>
          <w:ilvl w:val="0"/>
          <w:numId w:val="4"/>
        </w:numPr>
        <w:spacing w:line="276" w:lineRule="auto"/>
        <w:jc w:val="both"/>
        <w:rPr>
          <w:rFonts w:eastAsia="Times New Roman"/>
          <w:b/>
          <w:bCs/>
        </w:rPr>
      </w:pPr>
      <w:r w:rsidRPr="00F74A07">
        <w:rPr>
          <w:rFonts w:eastAsia="Times New Roman"/>
          <w:b/>
          <w:bCs/>
        </w:rPr>
        <w:t xml:space="preserve">Controls: </w:t>
      </w:r>
      <w:r w:rsidRPr="00F74A07">
        <w:rPr>
          <w:rFonts w:eastAsia="Times New Roman"/>
        </w:rPr>
        <w:t>Targeted marketing campaign repositioning Netflix in the education space; partnerships with recognized academic institutions; phased rollout with brand perception testing</w:t>
      </w:r>
      <w:r w:rsidR="008E05A9" w:rsidRPr="00F74A07">
        <w:rPr>
          <w:rFonts w:eastAsia="Times New Roman"/>
        </w:rPr>
        <w:t>.</w:t>
      </w:r>
    </w:p>
    <w:p w14:paraId="32F7D38A" w14:textId="77777777" w:rsidR="0001291A" w:rsidRPr="00512FF4" w:rsidRDefault="0001291A" w:rsidP="00512FF4">
      <w:pPr>
        <w:spacing w:line="276" w:lineRule="auto"/>
        <w:ind w:left="360"/>
        <w:jc w:val="both"/>
      </w:pPr>
    </w:p>
    <w:p w14:paraId="387BB2EA" w14:textId="77777777" w:rsidR="00F74A07" w:rsidRDefault="00BB524A" w:rsidP="00F74A07">
      <w:pPr>
        <w:spacing w:line="276" w:lineRule="auto"/>
        <w:jc w:val="both"/>
        <w:rPr>
          <w:b/>
          <w:bCs/>
          <w:sz w:val="24"/>
          <w:szCs w:val="24"/>
        </w:rPr>
      </w:pPr>
      <w:r w:rsidRPr="008E05A9">
        <w:rPr>
          <w:b/>
          <w:bCs/>
          <w:sz w:val="24"/>
          <w:szCs w:val="24"/>
        </w:rPr>
        <w:t>Risk 2: Regulatory and Compliance Exposure</w:t>
      </w:r>
    </w:p>
    <w:p w14:paraId="0FF7303C" w14:textId="77777777" w:rsidR="00F74A07" w:rsidRDefault="00F74A07" w:rsidP="00F74A07">
      <w:pPr>
        <w:spacing w:line="276" w:lineRule="auto"/>
        <w:jc w:val="both"/>
        <w:rPr>
          <w:b/>
          <w:bCs/>
          <w:sz w:val="24"/>
          <w:szCs w:val="24"/>
        </w:rPr>
      </w:pPr>
    </w:p>
    <w:p w14:paraId="4B5F807D" w14:textId="77777777" w:rsidR="00F74A07" w:rsidRPr="00F74A07" w:rsidRDefault="0001291A" w:rsidP="00F74A07">
      <w:pPr>
        <w:pStyle w:val="ListParagraph"/>
        <w:numPr>
          <w:ilvl w:val="0"/>
          <w:numId w:val="4"/>
        </w:numPr>
        <w:spacing w:line="276" w:lineRule="auto"/>
        <w:jc w:val="both"/>
        <w:rPr>
          <w:b/>
          <w:bCs/>
          <w:sz w:val="24"/>
          <w:szCs w:val="24"/>
        </w:rPr>
      </w:pPr>
      <w:r w:rsidRPr="00F74A07">
        <w:rPr>
          <w:rFonts w:eastAsia="Times New Roman"/>
          <w:b/>
          <w:bCs/>
        </w:rPr>
        <w:t>Contributing Factors</w:t>
      </w:r>
      <w:r w:rsidRPr="00F74A07">
        <w:rPr>
          <w:rFonts w:eastAsia="Times New Roman"/>
        </w:rPr>
        <w:t>: Varying educational regulations across jurisdictions; limited internal EdTech legal expertise; risk of content misclassification under educational standards</w:t>
      </w:r>
      <w:r w:rsidR="008E05A9" w:rsidRPr="00F74A07">
        <w:rPr>
          <w:rFonts w:eastAsia="Times New Roman"/>
        </w:rPr>
        <w:t>.</w:t>
      </w:r>
    </w:p>
    <w:p w14:paraId="4FBC1581" w14:textId="600F7099" w:rsidR="00D33192" w:rsidRPr="00F74A07" w:rsidRDefault="0001291A" w:rsidP="00F74A07">
      <w:pPr>
        <w:pStyle w:val="ListParagraph"/>
        <w:numPr>
          <w:ilvl w:val="0"/>
          <w:numId w:val="4"/>
        </w:numPr>
        <w:spacing w:line="276" w:lineRule="auto"/>
        <w:jc w:val="both"/>
        <w:rPr>
          <w:b/>
          <w:bCs/>
          <w:sz w:val="24"/>
          <w:szCs w:val="24"/>
        </w:rPr>
      </w:pPr>
      <w:r w:rsidRPr="00F74A07">
        <w:rPr>
          <w:rFonts w:eastAsia="Times New Roman"/>
          <w:b/>
          <w:bCs/>
        </w:rPr>
        <w:t>Controls:</w:t>
      </w:r>
      <w:r w:rsidRPr="00F74A07">
        <w:rPr>
          <w:rFonts w:eastAsia="Times New Roman"/>
        </w:rPr>
        <w:t xml:space="preserve"> Dedicated compliance teams per target market; regular legal audits; partnerships with local regulatory bodies; compliance checkpoints embedded in the content development workflow</w:t>
      </w:r>
      <w:r w:rsidR="008E05A9" w:rsidRPr="00F74A07">
        <w:rPr>
          <w:rFonts w:eastAsia="Times New Roman"/>
        </w:rPr>
        <w:t>.</w:t>
      </w:r>
    </w:p>
    <w:p w14:paraId="08354467" w14:textId="77777777" w:rsidR="0001291A" w:rsidRPr="00512FF4" w:rsidRDefault="0001291A" w:rsidP="00512FF4">
      <w:pPr>
        <w:spacing w:line="276" w:lineRule="auto"/>
        <w:ind w:left="360"/>
        <w:jc w:val="both"/>
      </w:pPr>
    </w:p>
    <w:p w14:paraId="47BF5270" w14:textId="77777777" w:rsidR="007346A1" w:rsidRPr="008E05A9" w:rsidRDefault="00BB524A" w:rsidP="00512FF4">
      <w:pPr>
        <w:spacing w:line="276" w:lineRule="auto"/>
        <w:jc w:val="both"/>
        <w:rPr>
          <w:b/>
          <w:bCs/>
          <w:sz w:val="24"/>
          <w:szCs w:val="24"/>
        </w:rPr>
      </w:pPr>
      <w:r w:rsidRPr="008E05A9">
        <w:rPr>
          <w:b/>
          <w:bCs/>
          <w:sz w:val="24"/>
          <w:szCs w:val="24"/>
        </w:rPr>
        <w:t>Risk 3: Technical Risk and Information Security</w:t>
      </w:r>
    </w:p>
    <w:p w14:paraId="5CF6E847" w14:textId="77777777" w:rsidR="00D33192" w:rsidRPr="00512FF4" w:rsidRDefault="00D33192" w:rsidP="00512FF4">
      <w:pPr>
        <w:spacing w:line="276" w:lineRule="auto"/>
        <w:jc w:val="both"/>
      </w:pPr>
    </w:p>
    <w:p w14:paraId="034F5036" w14:textId="0EC97C06" w:rsidR="008E05A9" w:rsidRPr="00F74A07" w:rsidRDefault="0001291A" w:rsidP="00F74A07">
      <w:pPr>
        <w:pStyle w:val="ListParagraph"/>
        <w:numPr>
          <w:ilvl w:val="0"/>
          <w:numId w:val="3"/>
        </w:numPr>
        <w:spacing w:line="276" w:lineRule="auto"/>
        <w:jc w:val="both"/>
        <w:rPr>
          <w:rFonts w:eastAsia="Times New Roman"/>
        </w:rPr>
      </w:pPr>
      <w:r w:rsidRPr="00F74A07">
        <w:rPr>
          <w:rFonts w:eastAsia="Times New Roman"/>
          <w:b/>
          <w:bCs/>
        </w:rPr>
        <w:t>Contributing Factors:</w:t>
      </w:r>
      <w:r w:rsidRPr="00F74A07">
        <w:rPr>
          <w:rFonts w:eastAsia="Times New Roman"/>
        </w:rPr>
        <w:t xml:space="preserve"> Processing and storage of sensitive learner data; gaps in data governance frameworks; third-party vendor vulnerabilities; risk of unauthorized access to student records</w:t>
      </w:r>
      <w:r w:rsidR="008E05A9" w:rsidRPr="00F74A07">
        <w:rPr>
          <w:rFonts w:eastAsia="Times New Roman"/>
        </w:rPr>
        <w:t>.</w:t>
      </w:r>
    </w:p>
    <w:p w14:paraId="728EA926" w14:textId="62A7B025" w:rsidR="00D33192" w:rsidRPr="00F74A07" w:rsidRDefault="0001291A" w:rsidP="00F74A07">
      <w:pPr>
        <w:pStyle w:val="ListParagraph"/>
        <w:numPr>
          <w:ilvl w:val="0"/>
          <w:numId w:val="3"/>
        </w:numPr>
        <w:spacing w:line="276" w:lineRule="auto"/>
        <w:jc w:val="both"/>
        <w:rPr>
          <w:rFonts w:eastAsia="Times New Roman"/>
        </w:rPr>
      </w:pPr>
      <w:r w:rsidRPr="00F74A07">
        <w:rPr>
          <w:rFonts w:eastAsia="Times New Roman"/>
          <w:b/>
          <w:bCs/>
        </w:rPr>
        <w:t>Controls:</w:t>
      </w:r>
      <w:r w:rsidRPr="00F74A07">
        <w:rPr>
          <w:rFonts w:eastAsia="Times New Roman"/>
        </w:rPr>
        <w:t xml:space="preserve"> End-to-end encryption for all learner data; mandatory GDPR and FERPA compliance audits; third-party security assessments; role-based access controls; incident response plan specific to educational data breaches</w:t>
      </w:r>
      <w:r w:rsidR="008E05A9" w:rsidRPr="00F74A07">
        <w:rPr>
          <w:rFonts w:eastAsia="Times New Roman"/>
        </w:rPr>
        <w:t>.</w:t>
      </w:r>
    </w:p>
    <w:p w14:paraId="3E55892C" w14:textId="77777777" w:rsidR="0001291A" w:rsidRPr="00512FF4" w:rsidRDefault="0001291A" w:rsidP="00512FF4">
      <w:pPr>
        <w:spacing w:line="276" w:lineRule="auto"/>
        <w:ind w:left="360"/>
        <w:jc w:val="both"/>
      </w:pPr>
    </w:p>
    <w:p w14:paraId="73A641B4" w14:textId="77777777" w:rsidR="007346A1" w:rsidRPr="008E05A9" w:rsidRDefault="00BB524A" w:rsidP="00512FF4">
      <w:pPr>
        <w:spacing w:line="276" w:lineRule="auto"/>
        <w:jc w:val="both"/>
        <w:rPr>
          <w:b/>
          <w:bCs/>
          <w:sz w:val="24"/>
          <w:szCs w:val="24"/>
        </w:rPr>
      </w:pPr>
      <w:r w:rsidRPr="008E05A9">
        <w:rPr>
          <w:b/>
          <w:bCs/>
          <w:sz w:val="24"/>
          <w:szCs w:val="24"/>
        </w:rPr>
        <w:t>Risk 4: Competitive Market Risk</w:t>
      </w:r>
    </w:p>
    <w:p w14:paraId="4A81724A" w14:textId="77777777" w:rsidR="007F6FEB" w:rsidRPr="00512FF4" w:rsidRDefault="007F6FEB" w:rsidP="00512FF4">
      <w:pPr>
        <w:spacing w:line="276" w:lineRule="auto"/>
        <w:jc w:val="both"/>
      </w:pPr>
    </w:p>
    <w:p w14:paraId="243061CC" w14:textId="408D5325" w:rsidR="008E05A9" w:rsidRPr="00F74A07" w:rsidRDefault="0001291A" w:rsidP="00F74A07">
      <w:pPr>
        <w:pStyle w:val="ListParagraph"/>
        <w:numPr>
          <w:ilvl w:val="0"/>
          <w:numId w:val="5"/>
        </w:numPr>
        <w:spacing w:line="276" w:lineRule="auto"/>
        <w:jc w:val="both"/>
        <w:rPr>
          <w:rFonts w:eastAsia="Times New Roman"/>
        </w:rPr>
      </w:pPr>
      <w:r w:rsidRPr="00F74A07">
        <w:rPr>
          <w:rFonts w:eastAsia="Times New Roman"/>
          <w:b/>
          <w:bCs/>
        </w:rPr>
        <w:t>Contributing Factors:</w:t>
      </w:r>
      <w:r w:rsidRPr="00F74A07">
        <w:rPr>
          <w:rFonts w:eastAsia="Times New Roman"/>
        </w:rPr>
        <w:t xml:space="preserve"> Competitors with established accreditation systems; strong learner loyalty to existing platforms; limited initial differentiation in course offerings</w:t>
      </w:r>
      <w:r w:rsidR="008E05A9" w:rsidRPr="00F74A07">
        <w:rPr>
          <w:rFonts w:eastAsia="Times New Roman"/>
        </w:rPr>
        <w:t>.</w:t>
      </w:r>
    </w:p>
    <w:p w14:paraId="3898A28C" w14:textId="4920C07D" w:rsidR="00D33192" w:rsidRDefault="0001291A" w:rsidP="00F74A07">
      <w:pPr>
        <w:pStyle w:val="ListParagraph"/>
        <w:numPr>
          <w:ilvl w:val="0"/>
          <w:numId w:val="5"/>
        </w:numPr>
        <w:spacing w:line="276" w:lineRule="auto"/>
        <w:jc w:val="both"/>
        <w:rPr>
          <w:rFonts w:eastAsia="Times New Roman"/>
        </w:rPr>
      </w:pPr>
      <w:r w:rsidRPr="00F74A07">
        <w:rPr>
          <w:rFonts w:eastAsia="Times New Roman"/>
          <w:b/>
          <w:bCs/>
        </w:rPr>
        <w:t>Controls:</w:t>
      </w:r>
      <w:r w:rsidRPr="00F74A07">
        <w:rPr>
          <w:rFonts w:eastAsia="Times New Roman"/>
        </w:rPr>
        <w:t xml:space="preserve"> Ongoing competitive intelligence monitoring through KRIs; investment in exclusive content partnerships; development of Netflix-branded micro-credentials; continuous market benchmarking</w:t>
      </w:r>
      <w:r w:rsidR="008E05A9" w:rsidRPr="00F74A07">
        <w:rPr>
          <w:rFonts w:eastAsia="Times New Roman"/>
        </w:rPr>
        <w:t>.</w:t>
      </w:r>
    </w:p>
    <w:p w14:paraId="414C1F7C" w14:textId="77777777" w:rsidR="00430A8C" w:rsidRPr="00430A8C" w:rsidRDefault="00430A8C" w:rsidP="00430A8C">
      <w:pPr>
        <w:spacing w:line="276" w:lineRule="auto"/>
        <w:ind w:left="360"/>
        <w:jc w:val="both"/>
        <w:rPr>
          <w:rFonts w:eastAsia="Times New Roman"/>
        </w:rPr>
      </w:pPr>
    </w:p>
    <w:p w14:paraId="4E1055BB" w14:textId="3DCD9E3F" w:rsidR="004749B0" w:rsidRDefault="004749B0" w:rsidP="004749B0">
      <w:pPr>
        <w:pStyle w:val="ListParagraph"/>
        <w:spacing w:line="276" w:lineRule="auto"/>
        <w:ind w:left="720"/>
        <w:jc w:val="both"/>
        <w:rPr>
          <w:rFonts w:eastAsia="Times New Roman"/>
          <w:b/>
          <w:bCs/>
        </w:rPr>
      </w:pPr>
    </w:p>
    <w:p w14:paraId="096DE252" w14:textId="09101A8D" w:rsidR="000C69D9" w:rsidRPr="00D35CBD" w:rsidRDefault="000C69D9" w:rsidP="00D35CBD">
      <w:pPr>
        <w:rPr>
          <w:b/>
          <w:bCs/>
          <w:sz w:val="28"/>
          <w:szCs w:val="28"/>
        </w:rPr>
      </w:pPr>
      <w:r w:rsidRPr="00D35CBD">
        <w:rPr>
          <w:b/>
          <w:bCs/>
          <w:sz w:val="28"/>
          <w:szCs w:val="28"/>
        </w:rPr>
        <w:t>Additional ERM Risk Treatment Matrix</w:t>
      </w:r>
    </w:p>
    <w:p w14:paraId="49D74B32" w14:textId="77777777" w:rsidR="00D35CBD" w:rsidRDefault="00D35CBD" w:rsidP="00430A8C">
      <w:pPr>
        <w:pStyle w:val="ListParagraph"/>
      </w:pPr>
    </w:p>
    <w:tbl>
      <w:tblPr>
        <w:tblStyle w:val="TableGrid"/>
        <w:tblW w:w="0" w:type="auto"/>
        <w:tblLook w:val="04A0" w:firstRow="1" w:lastRow="0" w:firstColumn="1" w:lastColumn="0" w:noHBand="0" w:noVBand="1"/>
      </w:tblPr>
      <w:tblGrid>
        <w:gridCol w:w="2014"/>
        <w:gridCol w:w="2014"/>
        <w:gridCol w:w="2014"/>
        <w:gridCol w:w="2014"/>
        <w:gridCol w:w="2014"/>
      </w:tblGrid>
      <w:tr w:rsidR="002B37F7" w14:paraId="2515B3A6" w14:textId="77777777" w:rsidTr="00954EA7">
        <w:tc>
          <w:tcPr>
            <w:tcW w:w="2014" w:type="dxa"/>
            <w:vAlign w:val="center"/>
          </w:tcPr>
          <w:p w14:paraId="6904452F" w14:textId="2F4FD017" w:rsidR="002B37F7" w:rsidRPr="002B37F7" w:rsidRDefault="002B37F7" w:rsidP="002B37F7">
            <w:pPr>
              <w:pStyle w:val="ListParagraph"/>
              <w:rPr>
                <w:b/>
                <w:bCs/>
              </w:rPr>
            </w:pPr>
            <w:r w:rsidRPr="002B37F7">
              <w:rPr>
                <w:b/>
                <w:bCs/>
              </w:rPr>
              <w:t>Risk Area</w:t>
            </w:r>
          </w:p>
        </w:tc>
        <w:tc>
          <w:tcPr>
            <w:tcW w:w="2014" w:type="dxa"/>
            <w:vAlign w:val="center"/>
          </w:tcPr>
          <w:p w14:paraId="63DF01E6" w14:textId="23EED215" w:rsidR="002B37F7" w:rsidRPr="002B37F7" w:rsidRDefault="002B37F7" w:rsidP="002B37F7">
            <w:pPr>
              <w:pStyle w:val="ListParagraph"/>
              <w:rPr>
                <w:b/>
                <w:bCs/>
              </w:rPr>
            </w:pPr>
            <w:r w:rsidRPr="002B37F7">
              <w:rPr>
                <w:b/>
                <w:bCs/>
              </w:rPr>
              <w:t>Risk Rating</w:t>
            </w:r>
          </w:p>
        </w:tc>
        <w:tc>
          <w:tcPr>
            <w:tcW w:w="2014" w:type="dxa"/>
            <w:vAlign w:val="center"/>
          </w:tcPr>
          <w:p w14:paraId="7D58CEFC" w14:textId="1BFE2D4C" w:rsidR="002B37F7" w:rsidRPr="002B37F7" w:rsidRDefault="002B37F7" w:rsidP="002B37F7">
            <w:pPr>
              <w:pStyle w:val="ListParagraph"/>
              <w:rPr>
                <w:b/>
                <w:bCs/>
              </w:rPr>
            </w:pPr>
            <w:r w:rsidRPr="002B37F7">
              <w:rPr>
                <w:b/>
                <w:bCs/>
              </w:rPr>
              <w:t>Risk Response</w:t>
            </w:r>
          </w:p>
        </w:tc>
        <w:tc>
          <w:tcPr>
            <w:tcW w:w="2014" w:type="dxa"/>
            <w:vAlign w:val="center"/>
          </w:tcPr>
          <w:p w14:paraId="5309921B" w14:textId="011C82E5" w:rsidR="002B37F7" w:rsidRPr="002B37F7" w:rsidRDefault="002B37F7" w:rsidP="002B37F7">
            <w:pPr>
              <w:pStyle w:val="ListParagraph"/>
              <w:rPr>
                <w:b/>
                <w:bCs/>
              </w:rPr>
            </w:pPr>
            <w:r w:rsidRPr="002B37F7">
              <w:rPr>
                <w:b/>
                <w:bCs/>
              </w:rPr>
              <w:t>Suggested Control</w:t>
            </w:r>
          </w:p>
        </w:tc>
        <w:tc>
          <w:tcPr>
            <w:tcW w:w="2014" w:type="dxa"/>
            <w:vAlign w:val="center"/>
          </w:tcPr>
          <w:p w14:paraId="3136F9B0" w14:textId="3DD64D34" w:rsidR="002B37F7" w:rsidRPr="002B37F7" w:rsidRDefault="002B37F7" w:rsidP="002B37F7">
            <w:pPr>
              <w:pStyle w:val="ListParagraph"/>
              <w:rPr>
                <w:b/>
                <w:bCs/>
              </w:rPr>
            </w:pPr>
            <w:r w:rsidRPr="002B37F7">
              <w:rPr>
                <w:b/>
                <w:bCs/>
              </w:rPr>
              <w:t>Responsible Team</w:t>
            </w:r>
          </w:p>
        </w:tc>
      </w:tr>
      <w:tr w:rsidR="002B37F7" w14:paraId="0A9A93B9" w14:textId="77777777" w:rsidTr="00BB6A69">
        <w:tc>
          <w:tcPr>
            <w:tcW w:w="2014" w:type="dxa"/>
            <w:vAlign w:val="center"/>
          </w:tcPr>
          <w:p w14:paraId="4C99B18F" w14:textId="1350F8D2" w:rsidR="002B37F7" w:rsidRDefault="002B37F7" w:rsidP="002B37F7">
            <w:pPr>
              <w:pStyle w:val="ListParagraph"/>
            </w:pPr>
            <w:r w:rsidRPr="000C69D9">
              <w:t>Brand Perception Mismatch</w:t>
            </w:r>
          </w:p>
        </w:tc>
        <w:tc>
          <w:tcPr>
            <w:tcW w:w="2014" w:type="dxa"/>
            <w:vAlign w:val="center"/>
          </w:tcPr>
          <w:p w14:paraId="3F3D9503" w14:textId="246653BA" w:rsidR="002B37F7" w:rsidRDefault="002B37F7" w:rsidP="002B37F7">
            <w:pPr>
              <w:pStyle w:val="ListParagraph"/>
            </w:pPr>
            <w:r w:rsidRPr="000C69D9">
              <w:t>Medium</w:t>
            </w:r>
          </w:p>
        </w:tc>
        <w:tc>
          <w:tcPr>
            <w:tcW w:w="2014" w:type="dxa"/>
            <w:vAlign w:val="center"/>
          </w:tcPr>
          <w:p w14:paraId="388A7AAB" w14:textId="04A6CC55" w:rsidR="002B37F7" w:rsidRDefault="002B37F7" w:rsidP="002B37F7">
            <w:pPr>
              <w:pStyle w:val="ListParagraph"/>
            </w:pPr>
            <w:r w:rsidRPr="000C69D9">
              <w:t>Mitigate</w:t>
            </w:r>
          </w:p>
        </w:tc>
        <w:tc>
          <w:tcPr>
            <w:tcW w:w="2014" w:type="dxa"/>
            <w:vAlign w:val="center"/>
          </w:tcPr>
          <w:p w14:paraId="3390BF26" w14:textId="0DF9907B" w:rsidR="002B37F7" w:rsidRDefault="002B37F7" w:rsidP="002B37F7">
            <w:pPr>
              <w:pStyle w:val="ListParagraph"/>
            </w:pPr>
            <w:r w:rsidRPr="000C69D9">
              <w:t>Launch a pilot education program with trusted university or professional partners before full market entry.</w:t>
            </w:r>
          </w:p>
        </w:tc>
        <w:tc>
          <w:tcPr>
            <w:tcW w:w="2014" w:type="dxa"/>
            <w:vAlign w:val="center"/>
          </w:tcPr>
          <w:p w14:paraId="5301E427" w14:textId="3A28699E" w:rsidR="002B37F7" w:rsidRDefault="002B37F7" w:rsidP="002B37F7">
            <w:pPr>
              <w:pStyle w:val="ListParagraph"/>
            </w:pPr>
            <w:r w:rsidRPr="000C69D9">
              <w:t>Marketing and Partnership Team</w:t>
            </w:r>
          </w:p>
        </w:tc>
      </w:tr>
      <w:tr w:rsidR="002B37F7" w14:paraId="74AB1AB4" w14:textId="77777777" w:rsidTr="003C360E">
        <w:tc>
          <w:tcPr>
            <w:tcW w:w="2014" w:type="dxa"/>
            <w:vAlign w:val="center"/>
          </w:tcPr>
          <w:p w14:paraId="6721D4BB" w14:textId="7E03098F" w:rsidR="002B37F7" w:rsidRDefault="002B37F7" w:rsidP="002B37F7">
            <w:pPr>
              <w:pStyle w:val="ListParagraph"/>
            </w:pPr>
            <w:r w:rsidRPr="000C69D9">
              <w:t>Regulatory and Compliance Exposure</w:t>
            </w:r>
          </w:p>
        </w:tc>
        <w:tc>
          <w:tcPr>
            <w:tcW w:w="2014" w:type="dxa"/>
            <w:vAlign w:val="center"/>
          </w:tcPr>
          <w:p w14:paraId="17EAF070" w14:textId="5592AB48" w:rsidR="002B37F7" w:rsidRDefault="002B37F7" w:rsidP="002B37F7">
            <w:pPr>
              <w:pStyle w:val="ListParagraph"/>
            </w:pPr>
            <w:r w:rsidRPr="000C69D9">
              <w:t>High</w:t>
            </w:r>
          </w:p>
        </w:tc>
        <w:tc>
          <w:tcPr>
            <w:tcW w:w="2014" w:type="dxa"/>
            <w:vAlign w:val="center"/>
          </w:tcPr>
          <w:p w14:paraId="2B16BEBF" w14:textId="76C1DE91" w:rsidR="002B37F7" w:rsidRDefault="002B37F7" w:rsidP="002B37F7">
            <w:pPr>
              <w:pStyle w:val="ListParagraph"/>
            </w:pPr>
            <w:r w:rsidRPr="000C69D9">
              <w:t>Mitigate/Avoid</w:t>
            </w:r>
          </w:p>
        </w:tc>
        <w:tc>
          <w:tcPr>
            <w:tcW w:w="2014" w:type="dxa"/>
            <w:vAlign w:val="center"/>
          </w:tcPr>
          <w:p w14:paraId="22A078DC" w14:textId="068452B8" w:rsidR="002B37F7" w:rsidRDefault="002B37F7" w:rsidP="002B37F7">
            <w:pPr>
              <w:pStyle w:val="ListParagraph"/>
            </w:pPr>
            <w:r w:rsidRPr="000C69D9">
              <w:t>Conduct legal review in each target country before launching educational services.</w:t>
            </w:r>
          </w:p>
        </w:tc>
        <w:tc>
          <w:tcPr>
            <w:tcW w:w="2014" w:type="dxa"/>
            <w:vAlign w:val="center"/>
          </w:tcPr>
          <w:p w14:paraId="014950BD" w14:textId="1D662201" w:rsidR="002B37F7" w:rsidRDefault="002B37F7" w:rsidP="002B37F7">
            <w:pPr>
              <w:pStyle w:val="ListParagraph"/>
            </w:pPr>
            <w:r w:rsidRPr="000C69D9">
              <w:t>Legal and Compliance Team</w:t>
            </w:r>
          </w:p>
        </w:tc>
      </w:tr>
      <w:tr w:rsidR="002B37F7" w14:paraId="4E0AB126" w14:textId="77777777" w:rsidTr="004709F7">
        <w:tc>
          <w:tcPr>
            <w:tcW w:w="2014" w:type="dxa"/>
            <w:vAlign w:val="center"/>
          </w:tcPr>
          <w:p w14:paraId="632C667F" w14:textId="01335E87" w:rsidR="002B37F7" w:rsidRDefault="002B37F7" w:rsidP="002B37F7">
            <w:pPr>
              <w:pStyle w:val="ListParagraph"/>
            </w:pPr>
            <w:r w:rsidRPr="000C69D9">
              <w:t>Technical Risk and Information Security</w:t>
            </w:r>
          </w:p>
        </w:tc>
        <w:tc>
          <w:tcPr>
            <w:tcW w:w="2014" w:type="dxa"/>
            <w:vAlign w:val="center"/>
          </w:tcPr>
          <w:p w14:paraId="39650C4D" w14:textId="2ABE0144" w:rsidR="002B37F7" w:rsidRDefault="002B37F7" w:rsidP="002B37F7">
            <w:pPr>
              <w:pStyle w:val="ListParagraph"/>
            </w:pPr>
            <w:r w:rsidRPr="000C69D9">
              <w:t>High</w:t>
            </w:r>
          </w:p>
        </w:tc>
        <w:tc>
          <w:tcPr>
            <w:tcW w:w="2014" w:type="dxa"/>
            <w:vAlign w:val="center"/>
          </w:tcPr>
          <w:p w14:paraId="7495AA9B" w14:textId="5643453A" w:rsidR="002B37F7" w:rsidRDefault="002B37F7" w:rsidP="002B37F7">
            <w:pPr>
              <w:pStyle w:val="ListParagraph"/>
            </w:pPr>
            <w:r w:rsidRPr="000C69D9">
              <w:t>Mitigate</w:t>
            </w:r>
          </w:p>
        </w:tc>
        <w:tc>
          <w:tcPr>
            <w:tcW w:w="2014" w:type="dxa"/>
            <w:vAlign w:val="center"/>
          </w:tcPr>
          <w:p w14:paraId="2CBEE4D6" w14:textId="6DC397E6" w:rsidR="002B37F7" w:rsidRDefault="002B37F7" w:rsidP="002B37F7">
            <w:pPr>
              <w:pStyle w:val="ListParagraph"/>
            </w:pPr>
            <w:r w:rsidRPr="000C69D9">
              <w:t>Apply encryption, access control, learner data privacy audits, and regular third-party security testing.</w:t>
            </w:r>
          </w:p>
        </w:tc>
        <w:tc>
          <w:tcPr>
            <w:tcW w:w="2014" w:type="dxa"/>
            <w:vAlign w:val="center"/>
          </w:tcPr>
          <w:p w14:paraId="325DA834" w14:textId="03A74234" w:rsidR="002B37F7" w:rsidRDefault="002B37F7" w:rsidP="002B37F7">
            <w:pPr>
              <w:pStyle w:val="ListParagraph"/>
            </w:pPr>
            <w:r w:rsidRPr="000C69D9">
              <w:t>Cybersecurity and Data Governance Team</w:t>
            </w:r>
          </w:p>
        </w:tc>
      </w:tr>
      <w:tr w:rsidR="00904410" w14:paraId="046B8984" w14:textId="77777777" w:rsidTr="008120B7">
        <w:tc>
          <w:tcPr>
            <w:tcW w:w="2014" w:type="dxa"/>
            <w:vAlign w:val="center"/>
          </w:tcPr>
          <w:p w14:paraId="0B3AEBFB" w14:textId="3E6AB0E6" w:rsidR="00904410" w:rsidRDefault="00904410" w:rsidP="00904410">
            <w:pPr>
              <w:pStyle w:val="ListParagraph"/>
            </w:pPr>
            <w:r w:rsidRPr="000C69D9">
              <w:t>Competitive Market Risk</w:t>
            </w:r>
          </w:p>
        </w:tc>
        <w:tc>
          <w:tcPr>
            <w:tcW w:w="2014" w:type="dxa"/>
            <w:vAlign w:val="center"/>
          </w:tcPr>
          <w:p w14:paraId="6E7BA23F" w14:textId="1E112A2B" w:rsidR="00904410" w:rsidRDefault="00904410" w:rsidP="00904410">
            <w:pPr>
              <w:pStyle w:val="ListParagraph"/>
            </w:pPr>
            <w:r w:rsidRPr="000C69D9">
              <w:t>Medium</w:t>
            </w:r>
          </w:p>
        </w:tc>
        <w:tc>
          <w:tcPr>
            <w:tcW w:w="2014" w:type="dxa"/>
            <w:vAlign w:val="center"/>
          </w:tcPr>
          <w:p w14:paraId="180C2F38" w14:textId="138B7975" w:rsidR="00904410" w:rsidRDefault="00904410" w:rsidP="00904410">
            <w:pPr>
              <w:pStyle w:val="ListParagraph"/>
            </w:pPr>
            <w:r w:rsidRPr="000C69D9">
              <w:t>Mitigate/Accept</w:t>
            </w:r>
          </w:p>
        </w:tc>
        <w:tc>
          <w:tcPr>
            <w:tcW w:w="2014" w:type="dxa"/>
            <w:vAlign w:val="center"/>
          </w:tcPr>
          <w:p w14:paraId="267C3337" w14:textId="68BF3C11" w:rsidR="00904410" w:rsidRDefault="00904410" w:rsidP="00904410">
            <w:pPr>
              <w:pStyle w:val="ListParagraph"/>
            </w:pPr>
            <w:r w:rsidRPr="000C69D9">
              <w:t>Monitor competitors such as Coursera, Udemy, and LinkedIn Learning while developing unique Netflix-branded learning content.</w:t>
            </w:r>
          </w:p>
        </w:tc>
        <w:tc>
          <w:tcPr>
            <w:tcW w:w="2014" w:type="dxa"/>
            <w:vAlign w:val="center"/>
          </w:tcPr>
          <w:p w14:paraId="05C57D7B" w14:textId="0B704BB8" w:rsidR="00904410" w:rsidRDefault="00904410" w:rsidP="00904410">
            <w:pPr>
              <w:pStyle w:val="ListParagraph"/>
            </w:pPr>
            <w:r w:rsidRPr="000C69D9">
              <w:t>Strategy and Product Team</w:t>
            </w:r>
          </w:p>
        </w:tc>
      </w:tr>
      <w:tr w:rsidR="00904410" w14:paraId="5FE96BDA" w14:textId="77777777" w:rsidTr="0016753B">
        <w:tc>
          <w:tcPr>
            <w:tcW w:w="2014" w:type="dxa"/>
            <w:vAlign w:val="center"/>
          </w:tcPr>
          <w:p w14:paraId="2C87386A" w14:textId="2F334879" w:rsidR="00904410" w:rsidRDefault="00904410" w:rsidP="00904410">
            <w:pPr>
              <w:pStyle w:val="ListParagraph"/>
            </w:pPr>
            <w:r w:rsidRPr="000C69D9">
              <w:t>Financial Risk</w:t>
            </w:r>
          </w:p>
        </w:tc>
        <w:tc>
          <w:tcPr>
            <w:tcW w:w="2014" w:type="dxa"/>
            <w:vAlign w:val="center"/>
          </w:tcPr>
          <w:p w14:paraId="5A8BFB78" w14:textId="5D70158F" w:rsidR="00904410" w:rsidRDefault="00904410" w:rsidP="00904410">
            <w:pPr>
              <w:pStyle w:val="ListParagraph"/>
            </w:pPr>
            <w:r w:rsidRPr="000C69D9">
              <w:t>Medium</w:t>
            </w:r>
          </w:p>
        </w:tc>
        <w:tc>
          <w:tcPr>
            <w:tcW w:w="2014" w:type="dxa"/>
            <w:vAlign w:val="center"/>
          </w:tcPr>
          <w:p w14:paraId="473B16F1" w14:textId="2FF7F35B" w:rsidR="00904410" w:rsidRDefault="00904410" w:rsidP="00904410">
            <w:pPr>
              <w:pStyle w:val="ListParagraph"/>
            </w:pPr>
            <w:r w:rsidRPr="000C69D9">
              <w:t>Mitigate</w:t>
            </w:r>
          </w:p>
        </w:tc>
        <w:tc>
          <w:tcPr>
            <w:tcW w:w="2014" w:type="dxa"/>
            <w:vAlign w:val="center"/>
          </w:tcPr>
          <w:p w14:paraId="40EBE80E" w14:textId="563FACD2" w:rsidR="00904410" w:rsidRDefault="00904410" w:rsidP="00904410">
            <w:pPr>
              <w:pStyle w:val="ListParagraph"/>
            </w:pPr>
            <w:r w:rsidRPr="000C69D9">
              <w:t>Track subscriber churn, ROI, course completion rate, and customer acquisition cost during the first 24 months.</w:t>
            </w:r>
          </w:p>
        </w:tc>
        <w:tc>
          <w:tcPr>
            <w:tcW w:w="2014" w:type="dxa"/>
            <w:vAlign w:val="center"/>
          </w:tcPr>
          <w:p w14:paraId="35322605" w14:textId="63D5C80F" w:rsidR="00904410" w:rsidRDefault="00904410" w:rsidP="00904410">
            <w:pPr>
              <w:pStyle w:val="ListParagraph"/>
            </w:pPr>
            <w:r w:rsidRPr="000C69D9">
              <w:t>Finance and Analytics Team</w:t>
            </w:r>
          </w:p>
        </w:tc>
      </w:tr>
    </w:tbl>
    <w:p w14:paraId="3B5711B7" w14:textId="6825B326" w:rsidR="004029DF" w:rsidRDefault="004029DF" w:rsidP="00430A8C">
      <w:pPr>
        <w:pStyle w:val="ListParagraph"/>
      </w:pPr>
    </w:p>
    <w:p w14:paraId="0956A18F" w14:textId="338E32FD" w:rsidR="00682645" w:rsidRPr="000C69D9" w:rsidRDefault="00682645" w:rsidP="004B0D86">
      <w:pPr>
        <w:jc w:val="both"/>
      </w:pPr>
      <w:r>
        <w:t>This risk treatment matrix supports the SWOT analysis by connecting each major risk to a practical response, control, and responsible team. Since Netflix’s proposed move into online education involves new regulatory, technical, financial, and market risks, the company should not rely only on its existing entertainment-streaming strengths. A structured ERM approach would help Netflix monitor early warning signs through KRIs, assign ownership for each risk, and take corrective action before risks affect learners, partners, or business performance.</w:t>
      </w:r>
    </w:p>
    <w:p w14:paraId="3E2E1BFC" w14:textId="77777777" w:rsidR="00CF3044" w:rsidRPr="004D2695" w:rsidRDefault="00CF3044" w:rsidP="00D33192">
      <w:pPr>
        <w:spacing w:line="276" w:lineRule="auto"/>
        <w:ind w:left="360"/>
        <w:jc w:val="both"/>
      </w:pPr>
    </w:p>
    <w:p w14:paraId="073CAFC3" w14:textId="77777777" w:rsidR="007346A1" w:rsidRDefault="00BB524A" w:rsidP="00D33192">
      <w:pPr>
        <w:spacing w:line="276" w:lineRule="auto"/>
        <w:jc w:val="both"/>
        <w:rPr>
          <w:b/>
          <w:bCs/>
          <w:sz w:val="28"/>
          <w:szCs w:val="28"/>
          <w:lang w:val="pt-BR"/>
        </w:rPr>
      </w:pPr>
      <w:r w:rsidRPr="00D33192">
        <w:rPr>
          <w:b/>
          <w:bCs/>
          <w:sz w:val="28"/>
          <w:szCs w:val="28"/>
          <w:lang w:val="pt-BR"/>
        </w:rPr>
        <w:lastRenderedPageBreak/>
        <w:t>References</w:t>
      </w:r>
    </w:p>
    <w:p w14:paraId="3DECEFF9" w14:textId="77777777" w:rsidR="0001291A" w:rsidRPr="00CF3044" w:rsidRDefault="0001291A" w:rsidP="00D33192">
      <w:pPr>
        <w:spacing w:line="276" w:lineRule="auto"/>
        <w:jc w:val="both"/>
        <w:rPr>
          <w:b/>
          <w:bCs/>
          <w:lang w:val="pt-BR"/>
        </w:rPr>
      </w:pPr>
    </w:p>
    <w:p w14:paraId="1AD92C32" w14:textId="007D6F14" w:rsidR="00F06F7F" w:rsidRDefault="0038336B" w:rsidP="00D35CBD">
      <w:r>
        <w:t xml:space="preserve">Netflix, Inc. (2025). </w:t>
      </w:r>
      <w:r>
        <w:rPr>
          <w:rStyle w:val="Emphasis"/>
        </w:rPr>
        <w:t>2024 annual report</w:t>
      </w:r>
      <w:r>
        <w:t>. Netflix Investor Relations</w:t>
      </w:r>
      <w:r w:rsidR="00F06F7F">
        <w:t>.</w:t>
      </w:r>
      <w:r w:rsidR="00B25548" w:rsidRPr="00B25548">
        <w:t xml:space="preserve"> https://ir.netflix.net/financials/annual-reports-and-proxies/default.aspx</w:t>
      </w:r>
    </w:p>
    <w:p w14:paraId="181CC63F" w14:textId="3D7A609D" w:rsidR="002D2652" w:rsidRPr="002D2652" w:rsidRDefault="002D2652" w:rsidP="00D35CBD">
      <w:pPr>
        <w:spacing w:before="100" w:beforeAutospacing="1" w:after="100" w:afterAutospacing="1" w:line="276" w:lineRule="auto"/>
        <w:rPr>
          <w:rFonts w:eastAsia="Times New Roman"/>
          <w:color w:val="000000"/>
        </w:rPr>
      </w:pPr>
      <w:r w:rsidRPr="00DD10A8">
        <w:rPr>
          <w:rFonts w:eastAsia="Times New Roman"/>
          <w:color w:val="000000"/>
        </w:rPr>
        <w:t>COSO. (2017). </w:t>
      </w:r>
      <w:r w:rsidRPr="00DD10A8">
        <w:rPr>
          <w:rFonts w:eastAsia="Times New Roman"/>
          <w:i/>
          <w:iCs/>
          <w:color w:val="000000"/>
        </w:rPr>
        <w:t>Enterprise risk management</w:t>
      </w:r>
      <w:r w:rsidRPr="002D2652">
        <w:rPr>
          <w:rFonts w:eastAsia="Times New Roman"/>
          <w:i/>
          <w:iCs/>
          <w:color w:val="000000"/>
        </w:rPr>
        <w:t>: Aligning risk with strategy and performance.</w:t>
      </w:r>
      <w:r w:rsidRPr="002D2652">
        <w:rPr>
          <w:rFonts w:eastAsia="Times New Roman"/>
          <w:color w:val="000000"/>
        </w:rPr>
        <w:t> Committee of Sponsoring Organizations of the Treadway Commission.</w:t>
      </w:r>
    </w:p>
    <w:p w14:paraId="22EE22A0" w14:textId="77777777" w:rsidR="002D2652" w:rsidRPr="002D2652" w:rsidRDefault="002D2652" w:rsidP="00D35CBD">
      <w:pPr>
        <w:rPr>
          <w:color w:val="000000"/>
        </w:rPr>
      </w:pPr>
      <w:r w:rsidRPr="002D2652">
        <w:rPr>
          <w:color w:val="000000"/>
        </w:rPr>
        <w:t>Global Market Insights. (2024). </w:t>
      </w:r>
      <w:r w:rsidRPr="002D2652">
        <w:rPr>
          <w:i/>
          <w:iCs/>
          <w:color w:val="000000"/>
        </w:rPr>
        <w:t>E-learning market size &amp; share report.</w:t>
      </w:r>
      <w:r w:rsidRPr="002D2652">
        <w:rPr>
          <w:color w:val="000000"/>
        </w:rPr>
        <w:t> GMI. </w:t>
      </w:r>
      <w:hyperlink r:id="rId7" w:history="1">
        <w:r w:rsidRPr="00D35CBD">
          <w:t>https://www.gminsights.com/industry-analysis/elearning-market-size</w:t>
        </w:r>
      </w:hyperlink>
    </w:p>
    <w:p w14:paraId="24B30F65" w14:textId="77777777" w:rsidR="002D2652" w:rsidRPr="002D2652" w:rsidRDefault="002D2652" w:rsidP="00D35CBD">
      <w:pPr>
        <w:spacing w:before="100" w:beforeAutospacing="1" w:after="100" w:afterAutospacing="1" w:line="276" w:lineRule="auto"/>
        <w:rPr>
          <w:rFonts w:eastAsia="Times New Roman"/>
          <w:color w:val="000000"/>
        </w:rPr>
      </w:pPr>
      <w:r w:rsidRPr="002D2652">
        <w:rPr>
          <w:rFonts w:eastAsia="Times New Roman"/>
          <w:color w:val="000000"/>
        </w:rPr>
        <w:t>Pantano, R. (n.d.). </w:t>
      </w:r>
      <w:r w:rsidRPr="002D2652">
        <w:rPr>
          <w:rFonts w:eastAsia="Times New Roman"/>
          <w:i/>
          <w:iCs/>
          <w:color w:val="000000"/>
        </w:rPr>
        <w:t>Introduction to risk management</w:t>
      </w:r>
      <w:r w:rsidRPr="002D2652">
        <w:rPr>
          <w:rFonts w:eastAsia="Times New Roman"/>
          <w:color w:val="000000"/>
        </w:rPr>
        <w:t> [Course presentation, Module 1]. ALY6130, Northeastern University.</w:t>
      </w:r>
    </w:p>
    <w:p w14:paraId="0462632C" w14:textId="77777777" w:rsidR="002D2652" w:rsidRPr="002D2652" w:rsidRDefault="002D2652" w:rsidP="00D35CBD">
      <w:pPr>
        <w:spacing w:before="100" w:beforeAutospacing="1" w:after="100" w:afterAutospacing="1" w:line="276" w:lineRule="auto"/>
        <w:rPr>
          <w:rFonts w:eastAsia="Times New Roman"/>
          <w:color w:val="000000"/>
        </w:rPr>
      </w:pPr>
      <w:r w:rsidRPr="002D2652">
        <w:rPr>
          <w:rFonts w:eastAsia="Times New Roman"/>
          <w:color w:val="000000"/>
        </w:rPr>
        <w:t>Project Management Institute. (2009). </w:t>
      </w:r>
      <w:r w:rsidRPr="002D2652">
        <w:rPr>
          <w:rFonts w:eastAsia="Times New Roman"/>
          <w:i/>
          <w:iCs/>
          <w:color w:val="000000"/>
        </w:rPr>
        <w:t>Practice standard for project risk management.</w:t>
      </w:r>
      <w:r w:rsidRPr="002D2652">
        <w:rPr>
          <w:rFonts w:eastAsia="Times New Roman"/>
          <w:color w:val="000000"/>
        </w:rPr>
        <w:t> PMI.</w:t>
      </w:r>
    </w:p>
    <w:p w14:paraId="5D1C27DE" w14:textId="6241F9E6" w:rsidR="007346A1" w:rsidRPr="004D2695" w:rsidRDefault="007346A1" w:rsidP="002D2652">
      <w:pPr>
        <w:spacing w:line="276" w:lineRule="auto"/>
        <w:jc w:val="both"/>
      </w:pPr>
    </w:p>
    <w:sectPr w:rsidR="007346A1" w:rsidRPr="004D2695" w:rsidSect="004D2695">
      <w:footerReference w:type="even" r:id="rId8"/>
      <w:footerReference w:type="default" r:id="rId9"/>
      <w:pgSz w:w="12240" w:h="15840"/>
      <w:pgMar w:top="1440" w:right="1080" w:bottom="144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16279" w14:textId="77777777" w:rsidR="00FB3DAA" w:rsidRDefault="00FB3DAA" w:rsidP="004D2695">
      <w:r>
        <w:separator/>
      </w:r>
    </w:p>
  </w:endnote>
  <w:endnote w:type="continuationSeparator" w:id="0">
    <w:p w14:paraId="1851D07B" w14:textId="77777777" w:rsidR="00FB3DAA" w:rsidRDefault="00FB3DAA" w:rsidP="004D2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ato">
    <w:altName w:val="Lato"/>
    <w:charset w:val="00"/>
    <w:family w:val="swiss"/>
    <w:pitch w:val="variable"/>
    <w:sig w:usb0="E10002FF" w:usb1="5000ECFF" w:usb2="00000021" w:usb3="00000000" w:csb0="0000019F" w:csb1="00000000"/>
  </w:font>
  <w:font w:name="-webkit-standard">
    <w:altName w:val="Cambria"/>
    <w:panose1 w:val="00000000000000000000"/>
    <w:charset w:val="00"/>
    <w:family w:val="roman"/>
    <w:notTrueType/>
    <w:pitch w:val="default"/>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13038701"/>
      <w:docPartObj>
        <w:docPartGallery w:val="Page Numbers (Bottom of Page)"/>
        <w:docPartUnique/>
      </w:docPartObj>
    </w:sdtPr>
    <w:sdtEndPr>
      <w:rPr>
        <w:rStyle w:val="PageNumber"/>
      </w:rPr>
    </w:sdtEndPr>
    <w:sdtContent>
      <w:p w14:paraId="3855EECF" w14:textId="3C99630B" w:rsidR="004D2695" w:rsidRDefault="004D2695" w:rsidP="00EC42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FB3DAA">
          <w:rPr>
            <w:rStyle w:val="PageNumber"/>
          </w:rPr>
          <w:fldChar w:fldCharType="separate"/>
        </w:r>
        <w:r>
          <w:rPr>
            <w:rStyle w:val="PageNumber"/>
          </w:rPr>
          <w:fldChar w:fldCharType="end"/>
        </w:r>
      </w:p>
    </w:sdtContent>
  </w:sdt>
  <w:p w14:paraId="7F09DC50" w14:textId="77777777" w:rsidR="004D2695" w:rsidRDefault="004D2695" w:rsidP="004D269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15150599"/>
      <w:docPartObj>
        <w:docPartGallery w:val="Page Numbers (Bottom of Page)"/>
        <w:docPartUnique/>
      </w:docPartObj>
    </w:sdtPr>
    <w:sdtEndPr>
      <w:rPr>
        <w:rStyle w:val="PageNumber"/>
      </w:rPr>
    </w:sdtEndPr>
    <w:sdtContent>
      <w:p w14:paraId="7C6E82E7" w14:textId="27BD97A0" w:rsidR="004D2695" w:rsidRDefault="004D2695" w:rsidP="00EC42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30BF2CE" w14:textId="77777777" w:rsidR="004D2695" w:rsidRDefault="004D2695" w:rsidP="004D269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FDC443" w14:textId="77777777" w:rsidR="00FB3DAA" w:rsidRDefault="00FB3DAA" w:rsidP="004D2695">
      <w:r>
        <w:separator/>
      </w:r>
    </w:p>
  </w:footnote>
  <w:footnote w:type="continuationSeparator" w:id="0">
    <w:p w14:paraId="1668696B" w14:textId="77777777" w:rsidR="00FB3DAA" w:rsidRDefault="00FB3DAA" w:rsidP="004D26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C5241"/>
    <w:multiLevelType w:val="hybridMultilevel"/>
    <w:tmpl w:val="6D16540E"/>
    <w:lvl w:ilvl="0" w:tplc="309895F4">
      <w:start w:val="1"/>
      <w:numFmt w:val="bullet"/>
      <w:lvlText w:val="●"/>
      <w:lvlJc w:val="left"/>
      <w:pPr>
        <w:ind w:left="720" w:hanging="360"/>
      </w:pPr>
    </w:lvl>
    <w:lvl w:ilvl="1" w:tplc="60785E0E">
      <w:start w:val="1"/>
      <w:numFmt w:val="bullet"/>
      <w:lvlText w:val="○"/>
      <w:lvlJc w:val="left"/>
      <w:pPr>
        <w:ind w:left="1440" w:hanging="360"/>
      </w:pPr>
    </w:lvl>
    <w:lvl w:ilvl="2" w:tplc="ABFEC566">
      <w:start w:val="1"/>
      <w:numFmt w:val="bullet"/>
      <w:lvlText w:val="■"/>
      <w:lvlJc w:val="left"/>
      <w:pPr>
        <w:ind w:left="2160" w:hanging="360"/>
      </w:pPr>
    </w:lvl>
    <w:lvl w:ilvl="3" w:tplc="5A9CA718">
      <w:start w:val="1"/>
      <w:numFmt w:val="bullet"/>
      <w:lvlText w:val="●"/>
      <w:lvlJc w:val="left"/>
      <w:pPr>
        <w:ind w:left="2880" w:hanging="360"/>
      </w:pPr>
    </w:lvl>
    <w:lvl w:ilvl="4" w:tplc="BD60AD80">
      <w:start w:val="1"/>
      <w:numFmt w:val="bullet"/>
      <w:lvlText w:val="○"/>
      <w:lvlJc w:val="left"/>
      <w:pPr>
        <w:ind w:left="3600" w:hanging="360"/>
      </w:pPr>
    </w:lvl>
    <w:lvl w:ilvl="5" w:tplc="A80A24E8">
      <w:start w:val="1"/>
      <w:numFmt w:val="bullet"/>
      <w:lvlText w:val="■"/>
      <w:lvlJc w:val="left"/>
      <w:pPr>
        <w:ind w:left="4320" w:hanging="360"/>
      </w:pPr>
    </w:lvl>
    <w:lvl w:ilvl="6" w:tplc="57C6DA72">
      <w:start w:val="1"/>
      <w:numFmt w:val="bullet"/>
      <w:lvlText w:val="●"/>
      <w:lvlJc w:val="left"/>
      <w:pPr>
        <w:ind w:left="5040" w:hanging="360"/>
      </w:pPr>
    </w:lvl>
    <w:lvl w:ilvl="7" w:tplc="C1845CCE">
      <w:start w:val="1"/>
      <w:numFmt w:val="bullet"/>
      <w:lvlText w:val="●"/>
      <w:lvlJc w:val="left"/>
      <w:pPr>
        <w:ind w:left="5760" w:hanging="360"/>
      </w:pPr>
    </w:lvl>
    <w:lvl w:ilvl="8" w:tplc="DCA4418E">
      <w:start w:val="1"/>
      <w:numFmt w:val="bullet"/>
      <w:lvlText w:val="●"/>
      <w:lvlJc w:val="left"/>
      <w:pPr>
        <w:ind w:left="6480" w:hanging="360"/>
      </w:pPr>
    </w:lvl>
  </w:abstractNum>
  <w:abstractNum w:abstractNumId="1" w15:restartNumberingAfterBreak="0">
    <w:nsid w:val="25E036BC"/>
    <w:multiLevelType w:val="hybridMultilevel"/>
    <w:tmpl w:val="30F0CA7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59342D"/>
    <w:multiLevelType w:val="hybridMultilevel"/>
    <w:tmpl w:val="459E0AF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561DB1"/>
    <w:multiLevelType w:val="hybridMultilevel"/>
    <w:tmpl w:val="C5447790"/>
    <w:lvl w:ilvl="0" w:tplc="04090003">
      <w:start w:val="1"/>
      <w:numFmt w:val="bullet"/>
      <w:lvlText w:val="o"/>
      <w:lvlJc w:val="left"/>
      <w:pPr>
        <w:ind w:left="360" w:hanging="360"/>
      </w:pPr>
      <w:rPr>
        <w:rFonts w:ascii="Courier New" w:hAnsi="Courier New"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4A732C1"/>
    <w:multiLevelType w:val="hybridMultilevel"/>
    <w:tmpl w:val="ACF0EB56"/>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6A1"/>
    <w:rsid w:val="000036E1"/>
    <w:rsid w:val="0001291A"/>
    <w:rsid w:val="00015AAD"/>
    <w:rsid w:val="000C69D9"/>
    <w:rsid w:val="000E7875"/>
    <w:rsid w:val="002250DE"/>
    <w:rsid w:val="00233C88"/>
    <w:rsid w:val="00255685"/>
    <w:rsid w:val="002B37F7"/>
    <w:rsid w:val="002D2652"/>
    <w:rsid w:val="00300ED0"/>
    <w:rsid w:val="0038336B"/>
    <w:rsid w:val="003926F7"/>
    <w:rsid w:val="00397E09"/>
    <w:rsid w:val="004029DF"/>
    <w:rsid w:val="00430415"/>
    <w:rsid w:val="00430A8C"/>
    <w:rsid w:val="004402FE"/>
    <w:rsid w:val="0047202A"/>
    <w:rsid w:val="004749B0"/>
    <w:rsid w:val="00491BCA"/>
    <w:rsid w:val="00495783"/>
    <w:rsid w:val="004B0D86"/>
    <w:rsid w:val="004D2695"/>
    <w:rsid w:val="00512FF4"/>
    <w:rsid w:val="005F3F91"/>
    <w:rsid w:val="006166B4"/>
    <w:rsid w:val="00624B5B"/>
    <w:rsid w:val="006620AB"/>
    <w:rsid w:val="00663DFE"/>
    <w:rsid w:val="00682645"/>
    <w:rsid w:val="006A216F"/>
    <w:rsid w:val="007346A1"/>
    <w:rsid w:val="007C0FE6"/>
    <w:rsid w:val="007E32C2"/>
    <w:rsid w:val="007F6FEB"/>
    <w:rsid w:val="00863769"/>
    <w:rsid w:val="0087420E"/>
    <w:rsid w:val="008D283B"/>
    <w:rsid w:val="008E05A9"/>
    <w:rsid w:val="00904410"/>
    <w:rsid w:val="00924B22"/>
    <w:rsid w:val="00925FBD"/>
    <w:rsid w:val="00A3532B"/>
    <w:rsid w:val="00B05CF5"/>
    <w:rsid w:val="00B10A73"/>
    <w:rsid w:val="00B25548"/>
    <w:rsid w:val="00B568BE"/>
    <w:rsid w:val="00B72156"/>
    <w:rsid w:val="00BB524A"/>
    <w:rsid w:val="00C22458"/>
    <w:rsid w:val="00C87DAD"/>
    <w:rsid w:val="00CF3044"/>
    <w:rsid w:val="00D205BE"/>
    <w:rsid w:val="00D33192"/>
    <w:rsid w:val="00D35CBD"/>
    <w:rsid w:val="00DD10A8"/>
    <w:rsid w:val="00EA5BF3"/>
    <w:rsid w:val="00F06F7F"/>
    <w:rsid w:val="00F74A07"/>
    <w:rsid w:val="00FB3D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CEC34"/>
  <w15:docId w15:val="{D4E0A7AA-5064-C44C-A572-9B5E70CDC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663DFE"/>
    <w:rPr>
      <w:b/>
      <w:bCs/>
    </w:rPr>
  </w:style>
  <w:style w:type="paragraph" w:styleId="Footer">
    <w:name w:val="footer"/>
    <w:basedOn w:val="Normal"/>
    <w:link w:val="FooterChar"/>
    <w:uiPriority w:val="99"/>
    <w:unhideWhenUsed/>
    <w:rsid w:val="004D2695"/>
    <w:pPr>
      <w:tabs>
        <w:tab w:val="center" w:pos="4680"/>
        <w:tab w:val="right" w:pos="9360"/>
      </w:tabs>
    </w:pPr>
  </w:style>
  <w:style w:type="character" w:customStyle="1" w:styleId="FooterChar">
    <w:name w:val="Footer Char"/>
    <w:basedOn w:val="DefaultParagraphFont"/>
    <w:link w:val="Footer"/>
    <w:uiPriority w:val="99"/>
    <w:rsid w:val="004D2695"/>
  </w:style>
  <w:style w:type="character" w:styleId="PageNumber">
    <w:name w:val="page number"/>
    <w:basedOn w:val="DefaultParagraphFont"/>
    <w:uiPriority w:val="99"/>
    <w:semiHidden/>
    <w:unhideWhenUsed/>
    <w:rsid w:val="004D2695"/>
  </w:style>
  <w:style w:type="paragraph" w:customStyle="1" w:styleId="font-claude-response-body">
    <w:name w:val="font-claude-response-body"/>
    <w:basedOn w:val="Normal"/>
    <w:rsid w:val="00D33192"/>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D2652"/>
  </w:style>
  <w:style w:type="character" w:styleId="Emphasis">
    <w:name w:val="Emphasis"/>
    <w:basedOn w:val="DefaultParagraphFont"/>
    <w:uiPriority w:val="20"/>
    <w:qFormat/>
    <w:rsid w:val="002D2652"/>
    <w:rPr>
      <w:i/>
      <w:iCs/>
    </w:rPr>
  </w:style>
  <w:style w:type="table" w:styleId="TableGrid">
    <w:name w:val="Table Grid"/>
    <w:basedOn w:val="TableNormal"/>
    <w:uiPriority w:val="39"/>
    <w:rsid w:val="004029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55685"/>
    <w:pPr>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1416363">
      <w:bodyDiv w:val="1"/>
      <w:marLeft w:val="0"/>
      <w:marRight w:val="0"/>
      <w:marTop w:val="0"/>
      <w:marBottom w:val="0"/>
      <w:divBdr>
        <w:top w:val="none" w:sz="0" w:space="0" w:color="auto"/>
        <w:left w:val="none" w:sz="0" w:space="0" w:color="auto"/>
        <w:bottom w:val="none" w:sz="0" w:space="0" w:color="auto"/>
        <w:right w:val="none" w:sz="0" w:space="0" w:color="auto"/>
      </w:divBdr>
      <w:divsChild>
        <w:div w:id="1810242153">
          <w:marLeft w:val="0"/>
          <w:marRight w:val="0"/>
          <w:marTop w:val="0"/>
          <w:marBottom w:val="0"/>
          <w:divBdr>
            <w:top w:val="none" w:sz="0" w:space="0" w:color="auto"/>
            <w:left w:val="none" w:sz="0" w:space="0" w:color="auto"/>
            <w:bottom w:val="none" w:sz="0" w:space="0" w:color="auto"/>
            <w:right w:val="none" w:sz="0" w:space="0" w:color="auto"/>
          </w:divBdr>
          <w:divsChild>
            <w:div w:id="5621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gminsights.com/industry-analysis/elearning-market-siz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1674</Words>
  <Characters>9545</Characters>
  <Application>Microsoft Office Word</Application>
  <DocSecurity>0</DocSecurity>
  <Lines>79</Lines>
  <Paragraphs>22</Paragraphs>
  <ScaleCrop>false</ScaleCrop>
  <Company/>
  <LinksUpToDate>false</LinksUpToDate>
  <CharactersWithSpaces>11197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Adewole Fatai Adelana</cp:lastModifiedBy>
  <cp:revision>35</cp:revision>
  <dcterms:created xsi:type="dcterms:W3CDTF">2026-05-26T17:18:00Z</dcterms:created>
  <dcterms:modified xsi:type="dcterms:W3CDTF">2026-05-26T22:41:00Z</dcterms:modified>
</cp:coreProperties>
</file>