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/>
        <w:drawing>
          <wp:inline distT="0" distB="0" distL="0" distR="0">
            <wp:extent cx="4775835" cy="2337435"/>
            <wp:effectExtent l="0" t="0" r="0" b="0"/>
            <wp:docPr id="1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</w:rPr>
      </w:pPr>
      <w:bookmarkStart w:id="0" w:name="_gjdgxs"/>
      <w:bookmarkEnd w:id="0"/>
      <w:r>
        <w:rPr>
          <w:rFonts w:cs="Times New Roman" w:ascii="Times New Roman" w:hAnsi="Times New Roman"/>
          <w:b/>
          <w:bCs/>
        </w:rPr>
        <w:t>CENTRO UNIVERSITÁRIO DE BRASÍLIA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Pós Graduação – Desenvolvimento FullStack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  <w:bookmarkStart w:id="1" w:name="_3znysh7"/>
      <w:bookmarkStart w:id="2" w:name="_3znysh7"/>
      <w:bookmarkEnd w:id="2"/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THAÍS MALDONADO KONISHI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VINÍCIUS DE SOUSA SANTANA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Cs/>
        </w:rPr>
      </w:pPr>
      <w:bookmarkStart w:id="3" w:name="_tyjcwt"/>
      <w:bookmarkEnd w:id="3"/>
      <w:r>
        <w:rPr>
          <w:rFonts w:cs="Times New Roman" w:ascii="Times New Roman" w:hAnsi="Times New Roman"/>
          <w:b/>
          <w:bCs/>
          <w:lang w:eastAsia="pt-BR" w:bidi="ar-SA"/>
        </w:rPr>
        <w:t xml:space="preserve">Sistema de </w:t>
      </w:r>
      <w:r>
        <w:rPr>
          <w:rFonts w:cs="Times New Roman" w:ascii="Times New Roman" w:hAnsi="Times New Roman"/>
          <w:b/>
          <w:bCs/>
          <w:lang w:eastAsia="pt-BR" w:bidi="ar-SA"/>
        </w:rPr>
        <w:t>Investimentos ‘Deus Ex Finance’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bookmarkStart w:id="4" w:name="_3dy6vkm"/>
      <w:bookmarkEnd w:id="4"/>
      <w:r>
        <w:rPr>
          <w:rFonts w:cs="Times New Roman" w:ascii="Times New Roman" w:hAnsi="Times New Roman"/>
        </w:rPr>
        <w:t>BRASÍLIA – DF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  <w:t>Sumário</w:t>
          </w:r>
        </w:p>
        <w:p>
          <w:pPr>
            <w:pStyle w:val="TOC1"/>
            <w:tabs>
              <w:tab w:val="clear" w:pos="720"/>
              <w:tab w:val="right" w:pos="9061" w:leader="dot"/>
            </w:tabs>
            <w:rPr>
              <w:rFonts w:cs=""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 xml:space="preserve"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175400974">
            <w:r>
              <w:rPr>
                <w:webHidden/>
                <w:rStyle w:val="Vnculodendice"/>
              </w:rPr>
              <w:t>1. 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_Toc175400974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61" w:leader="dot"/>
            </w:tabs>
            <w:rPr>
              <w:rFonts w:cs="" w:cstheme="minorBidi"/>
              <w:kern w:val="2"/>
              <w:sz w:val="24"/>
              <w:szCs w:val="24"/>
              <w14:ligatures w14:val="standardContextual"/>
            </w:rPr>
          </w:pPr>
          <w:hyperlink w:anchor="_Toc175400975">
            <w:r>
              <w:rPr>
                <w:webHidden/>
                <w:rStyle w:val="Vnculodendice"/>
              </w:rPr>
              <w:t>2. Visão Geral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_Toc175400975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61" w:leader="dot"/>
            </w:tabs>
            <w:rPr>
              <w:rFonts w:cs="" w:cstheme="minorBidi"/>
              <w:kern w:val="2"/>
              <w:sz w:val="24"/>
              <w:szCs w:val="24"/>
              <w14:ligatures w14:val="standardContextual"/>
            </w:rPr>
          </w:pPr>
          <w:hyperlink w:anchor="_Toc175400976">
            <w:r>
              <w:rPr>
                <w:webHidden/>
                <w:rStyle w:val="Vnculodendice"/>
              </w:rPr>
              <w:t>3. Requisitos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_Toc175400976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61" w:leader="dot"/>
            </w:tabs>
            <w:rPr>
              <w:rFonts w:cs="" w:cstheme="minorBidi"/>
              <w:kern w:val="2"/>
              <w:sz w:val="24"/>
              <w:szCs w:val="24"/>
              <w14:ligatures w14:val="standardContextual"/>
            </w:rPr>
          </w:pPr>
          <w:hyperlink w:anchor="_Toc175400977">
            <w:r>
              <w:rPr>
                <w:webHidden/>
                <w:rStyle w:val="Vnculodendice"/>
              </w:rPr>
              <w:t>4. Definições, Acrônimos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_Toc175400977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61" w:leader="dot"/>
            </w:tabs>
            <w:rPr>
              <w:rFonts w:cs="" w:cstheme="minorBidi"/>
              <w:kern w:val="2"/>
              <w:sz w:val="24"/>
              <w:szCs w:val="24"/>
              <w14:ligatures w14:val="standardContextual"/>
            </w:rPr>
          </w:pPr>
          <w:hyperlink w:anchor="_Toc175400978">
            <w:r>
              <w:rPr>
                <w:webHidden/>
                <w:rStyle w:val="Vnculodendice"/>
              </w:rPr>
              <w:t>5. Configuração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_Toc175400978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61" w:leader="dot"/>
            </w:tabs>
            <w:rPr>
              <w:rFonts w:cs="" w:cstheme="minorBidi"/>
              <w:kern w:val="2"/>
              <w:sz w:val="24"/>
              <w:szCs w:val="24"/>
              <w14:ligatures w14:val="standardContextual"/>
            </w:rPr>
          </w:pPr>
          <w:hyperlink w:anchor="_Toc175400979">
            <w:r>
              <w:rPr>
                <w:webHidden/>
                <w:rStyle w:val="Vnculodendice"/>
              </w:rPr>
              <w:t>6. Arquitetura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_Toc175400979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61" w:leader="dot"/>
            </w:tabs>
            <w:rPr>
              <w:rFonts w:cs="" w:cstheme="minorBidi"/>
              <w:kern w:val="2"/>
              <w:sz w:val="24"/>
              <w:szCs w:val="24"/>
              <w14:ligatures w14:val="standardContextual"/>
            </w:rPr>
          </w:pPr>
          <w:hyperlink w:anchor="_Toc175400980">
            <w:r>
              <w:rPr>
                <w:webHidden/>
                <w:rStyle w:val="Vnculodendice"/>
              </w:rPr>
              <w:t>7. Detalhamento dos Componentes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_Toc175400980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61" w:leader="dot"/>
            </w:tabs>
            <w:rPr>
              <w:rFonts w:cs="" w:cstheme="minorBidi"/>
              <w:kern w:val="2"/>
              <w:sz w:val="24"/>
              <w:szCs w:val="24"/>
              <w14:ligatures w14:val="standardContextual"/>
            </w:rPr>
          </w:pPr>
          <w:hyperlink w:anchor="_Toc175400981">
            <w:r>
              <w:rPr>
                <w:webHidden/>
                <w:rStyle w:val="Vnculodendice"/>
              </w:rPr>
              <w:t>8. Documentação da API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_Toc175400981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61" w:leader="dot"/>
            </w:tabs>
            <w:rPr>
              <w:rFonts w:cs="" w:cstheme="minorBidi"/>
              <w:kern w:val="2"/>
              <w:sz w:val="24"/>
              <w:szCs w:val="24"/>
              <w14:ligatures w14:val="standardContextual"/>
            </w:rPr>
          </w:pPr>
          <w:hyperlink w:anchor="_Toc175400982">
            <w:r>
              <w:rPr>
                <w:webHidden/>
                <w:rStyle w:val="Vnculodendice"/>
              </w:rPr>
              <w:t>9. 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_Toc175400982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Times New Roman" w:hAnsi="Times New Roman" w:cs="Times New Roman"/>
            </w:rPr>
          </w:pPr>
          <w:r>
            <w:rPr>
              <w:rFonts w:cs="Times New Roman" w:ascii="Times New Roman" w:hAnsi="Times New Roman"/>
            </w:rPr>
          </w:r>
          <w:r>
            <w:rPr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Heading1"/>
        <w:rPr>
          <w:lang w:eastAsia="pt-BR" w:bidi="ar-SA"/>
        </w:rPr>
      </w:pPr>
      <w:r>
        <w:rPr>
          <w:lang w:eastAsia="pt-BR" w:bidi="ar-SA"/>
        </w:rPr>
        <w:t xml:space="preserve"> </w:t>
      </w:r>
      <w:bookmarkStart w:id="5" w:name="_Toc175400974"/>
      <w:r>
        <w:rPr>
          <w:lang w:eastAsia="pt-BR" w:bidi="ar-SA"/>
        </w:rPr>
        <w:t>1. Introdução</w:t>
      </w:r>
      <w:bookmarkEnd w:id="5"/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lang w:eastAsia="pt-BR" w:bidi="ar-SA"/>
        </w:rPr>
        <w:t xml:space="preserve">Este sistema foi desenvolvido com o objetivo de proporcionar uma maneira mais eficiente e acessível para o controle de investimentos, similar a plataformas como Investidor10 e Fundamentei. Com uma interface intuitiva e funcionalidades robustas, o sistema permite que os usuários gerenciem seus ativos de investimento e acompanhem as cotações desses ativos ao longo do tempo. </w:t>
      </w:r>
      <w:r>
        <w:rPr>
          <w:rFonts w:cs="Times New Roman" w:ascii="Times New Roman" w:hAnsi="Times New Roman"/>
          <w:lang w:eastAsia="pt-BR" w:bidi="ar-SA"/>
        </w:rPr>
        <w:t>Em decorrência do curto tempo para desenvolvimento do projeto, o escopo inicial para este trabalho foi extremamente reduzido com o objetivo de haver tempo hábil para o desenvolvimento e ainda assim permitir a aplicação dos conceitos estudados durante o curso.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Heading1"/>
        <w:rPr>
          <w:lang w:eastAsia="pt-BR" w:bidi="ar-SA"/>
        </w:rPr>
      </w:pPr>
      <w:r>
        <w:rPr>
          <w:lang w:eastAsia="pt-BR" w:bidi="ar-SA"/>
        </w:rPr>
        <w:t xml:space="preserve"> </w:t>
      </w:r>
      <w:bookmarkStart w:id="6" w:name="_Toc175400975"/>
      <w:r>
        <w:rPr>
          <w:lang w:eastAsia="pt-BR" w:bidi="ar-SA"/>
        </w:rPr>
        <w:t>2. Visão Geral</w:t>
      </w:r>
      <w:bookmarkEnd w:id="6"/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</w:t>
      </w:r>
      <w:r>
        <w:rPr>
          <w:rFonts w:cs="Times New Roman" w:ascii="Times New Roman" w:hAnsi="Times New Roman"/>
          <w:lang w:eastAsia="pt-BR" w:bidi="ar-SA"/>
        </w:rPr>
        <w:t>Finalidade: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A aplicação ‘Deus Ex Finance’ tem por objetivo permitir uma maior flexibilidade e agilidade na hora de gerir investimentos. </w:t>
      </w:r>
      <w:r>
        <w:rPr>
          <w:rFonts w:cs="Times New Roman" w:ascii="Times New Roman" w:hAnsi="Times New Roman"/>
          <w:b w:val="false"/>
          <w:bCs w:val="false"/>
          <w:lang w:eastAsia="pt-BR" w:bidi="ar-SA"/>
        </w:rPr>
        <w:t xml:space="preserve">Este sistema foi desenvolvido com o objetivo de proporcionar uma maneira mais eficiente e acessível para o controle de investimentos, similar a plataformas como Investidor10 e Fundamentei. Com uma interface intuitiva e funcionalidades robustas, o sistema permite que os usuários gerenciem seus ativos de investimento e acompanhem as cotações desses ativos ao longo do tempo. 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</w:t>
      </w:r>
      <w:r>
        <w:rPr>
          <w:rFonts w:cs="Times New Roman" w:ascii="Times New Roman" w:hAnsi="Times New Roman"/>
          <w:lang w:eastAsia="pt-BR" w:bidi="ar-SA"/>
        </w:rPr>
        <w:t>Escopo: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FF0000"/>
          <w:lang w:eastAsia="pt-BR" w:bidi="ar-SA"/>
        </w:rPr>
      </w:pPr>
      <w:r>
        <w:rPr>
          <w:rFonts w:cs="Times New Roman" w:ascii="Times New Roman" w:hAnsi="Times New Roman"/>
          <w:color w:val="FF0000"/>
          <w:lang w:eastAsia="pt-BR" w:bidi="ar-SA"/>
        </w:rPr>
        <w:t>ALTERAR ESCOPO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</w:t>
      </w:r>
      <w:r>
        <w:rPr>
          <w:rFonts w:cs="Times New Roman" w:ascii="Times New Roman" w:hAnsi="Times New Roman"/>
          <w:lang w:eastAsia="pt-BR" w:bidi="ar-SA"/>
        </w:rPr>
        <w:t>Visão Geral do Produto: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Frontend: Desenvolvido em Vue.js, utilizando Vuetify para a interface de usuário, `axios` para comunicação com a api backend, e `chart.js` para exibição de gráficos de vendas.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Backend: Implementado em Java utilizando Spring Boot, com controladores (controllers) para gerenciar operações relacionadas a produtos, vendas e funcionários.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Banco de Dados: Utiliza MySQL para armazenar dados de produtos, vendas, funcionários, entre outros.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Heading1"/>
        <w:rPr>
          <w:lang w:eastAsia="pt-BR" w:bidi="ar-SA"/>
        </w:rPr>
      </w:pPr>
      <w:r>
        <w:rPr>
          <w:lang w:eastAsia="pt-BR" w:bidi="ar-SA"/>
        </w:rPr>
      </w:r>
    </w:p>
    <w:p>
      <w:pPr>
        <w:pStyle w:val="Normal"/>
        <w:rPr>
          <w:lang w:eastAsia="pt-BR" w:bidi="ar-SA"/>
        </w:rPr>
      </w:pPr>
      <w:r>
        <w:rPr>
          <w:lang w:eastAsia="pt-BR" w:bidi="ar-SA"/>
        </w:rPr>
      </w:r>
    </w:p>
    <w:p>
      <w:pPr>
        <w:pStyle w:val="Heading1"/>
        <w:rPr>
          <w:lang w:eastAsia="pt-BR" w:bidi="ar-SA"/>
        </w:rPr>
      </w:pPr>
      <w:r>
        <w:rPr>
          <w:lang w:eastAsia="pt-BR" w:bidi="ar-SA"/>
        </w:rPr>
      </w:r>
    </w:p>
    <w:p>
      <w:pPr>
        <w:pStyle w:val="Heading1"/>
        <w:rPr>
          <w:lang w:eastAsia="pt-BR" w:bidi="ar-SA"/>
        </w:rPr>
      </w:pPr>
      <w:r>
        <w:rPr>
          <w:lang w:eastAsia="pt-BR" w:bidi="ar-SA"/>
        </w:rPr>
        <w:t xml:space="preserve"> </w:t>
      </w:r>
      <w:bookmarkStart w:id="7" w:name="_Toc175400976"/>
      <w:r>
        <w:rPr>
          <w:lang w:eastAsia="pt-BR" w:bidi="ar-SA"/>
        </w:rPr>
        <w:t>3. Requisitos do Produto</w:t>
      </w:r>
      <w:bookmarkEnd w:id="7"/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</w:t>
      </w:r>
      <w:r>
        <w:rPr>
          <w:rFonts w:cs="Times New Roman" w:ascii="Times New Roman" w:hAnsi="Times New Roman"/>
          <w:lang w:eastAsia="pt-BR" w:bidi="ar-SA"/>
        </w:rPr>
        <w:t>Requisitos Funcionais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Autenticação e Autorização: O sistema deve permitir que usuários e administradores se autentiquem, com acesso a funcionalidades restritas conforme o nível de permissão.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Gerenciamento de Produtos: Deve ser possível criar, ler, atualizar e excluir produtos.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Registro e Exibição de Vendas: O sistema deve registrar cada venda realizada e permitir a visualização de um histórico de vendas.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Visualização de Gráficos de Vendas: Deve apresentar gráficos de vendas para análise de desempenho.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Controle de Estoque: O sistema deve gerenciar o estoque de produtos, impedindo vendas quando o estoque estiver esgotado.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</w:t>
      </w:r>
      <w:r>
        <w:rPr>
          <w:rFonts w:cs="Times New Roman" w:ascii="Times New Roman" w:hAnsi="Times New Roman"/>
          <w:lang w:eastAsia="pt-BR" w:bidi="ar-SA"/>
        </w:rPr>
        <w:t>Requisitos Não Funcionais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Segurança: Dados dos usuários e informações sensíveis devem ser protegidos contra acessos não autorizados.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Usabilidade: A interface do usuário deve ser intuitiva e fácil de usar, proporcionando uma boa experiência para todos os tipos de usuários.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Heading1"/>
        <w:rPr>
          <w:lang w:eastAsia="pt-BR" w:bidi="ar-SA"/>
        </w:rPr>
      </w:pPr>
      <w:r>
        <w:rPr>
          <w:lang w:eastAsia="pt-BR" w:bidi="ar-SA"/>
        </w:rPr>
      </w:r>
    </w:p>
    <w:p>
      <w:pPr>
        <w:pStyle w:val="Heading1"/>
        <w:rPr>
          <w:lang w:eastAsia="pt-BR" w:bidi="ar-SA"/>
        </w:rPr>
      </w:pPr>
      <w:r>
        <w:rPr>
          <w:lang w:eastAsia="pt-BR" w:bidi="ar-SA"/>
        </w:rPr>
        <w:t xml:space="preserve"> </w:t>
      </w:r>
      <w:bookmarkStart w:id="8" w:name="_Toc175400977"/>
      <w:r>
        <w:rPr>
          <w:lang w:eastAsia="pt-BR" w:bidi="ar-SA"/>
        </w:rPr>
        <w:t>4. Definições, Acrônimos e Abreviações</w:t>
      </w:r>
      <w:bookmarkEnd w:id="8"/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CRUD: Create, Read, Update, Delete - operações básicas de gerenciamento de dados.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API: Application Programming Interface - conjunto de rotas e métodos para interação entre frontend e backend.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MySQL: Sistema de gerenciamento de banco de dados relacional.</w:t>
      </w:r>
    </w:p>
    <w:p>
      <w:pPr>
        <w:pStyle w:val="Heading1"/>
        <w:rPr>
          <w:lang w:eastAsia="pt-BR" w:bidi="ar-SA"/>
        </w:rPr>
      </w:pPr>
      <w:r>
        <w:rPr>
          <w:lang w:eastAsia="pt-BR" w:bidi="ar-SA"/>
        </w:rPr>
        <w:t xml:space="preserve"> </w:t>
      </w:r>
      <w:bookmarkStart w:id="9" w:name="_Toc175400978"/>
      <w:r>
        <w:rPr>
          <w:lang w:eastAsia="pt-BR" w:bidi="ar-SA"/>
        </w:rPr>
        <w:t>5. Configuração do Sistema</w:t>
      </w:r>
      <w:bookmarkEnd w:id="9"/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Git: https://github.com/megatroll01/ProjetoFinal.git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</w:t>
      </w:r>
      <w:r>
        <w:rPr>
          <w:rFonts w:cs="Times New Roman" w:ascii="Times New Roman" w:hAnsi="Times New Roman"/>
          <w:lang w:eastAsia="pt-BR" w:bidi="ar-SA"/>
        </w:rPr>
        <w:t>Dependências e Instalação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Frontend: As dependências do frontend estão listadas no arquivo `package.json`. Algumas principais incluem: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 </w:t>
      </w:r>
      <w:r>
        <w:rPr>
          <w:rFonts w:cs="Times New Roman" w:ascii="Times New Roman" w:hAnsi="Times New Roman"/>
          <w:lang w:eastAsia="pt-BR" w:bidi="ar-SA"/>
        </w:rPr>
        <w:t>- `vue`: Framework JavaScript progressivo.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 </w:t>
      </w:r>
      <w:r>
        <w:rPr>
          <w:rFonts w:cs="Times New Roman" w:ascii="Times New Roman" w:hAnsi="Times New Roman"/>
          <w:lang w:eastAsia="pt-BR" w:bidi="ar-SA"/>
        </w:rPr>
        <w:t>- `vuetify`: Biblioteca de componentes UI para Vue.js.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 </w:t>
      </w:r>
      <w:r>
        <w:rPr>
          <w:rFonts w:cs="Times New Roman" w:ascii="Times New Roman" w:hAnsi="Times New Roman"/>
          <w:lang w:eastAsia="pt-BR" w:bidi="ar-SA"/>
        </w:rPr>
        <w:t>- `axios`: Cliente HTTP para requisições ao backend.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 </w:t>
      </w:r>
      <w:r>
        <w:rPr>
          <w:rFonts w:cs="Times New Roman" w:ascii="Times New Roman" w:hAnsi="Times New Roman"/>
          <w:lang w:eastAsia="pt-BR" w:bidi="ar-SA"/>
        </w:rPr>
        <w:t>- `chart.js`: Biblioteca de gráficos.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Backend: As dependências do backend são gerenciadas pelo `pom.xml`. Principais dependências incluem: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 </w:t>
      </w:r>
      <w:r>
        <w:rPr>
          <w:rFonts w:cs="Times New Roman" w:ascii="Times New Roman" w:hAnsi="Times New Roman"/>
          <w:lang w:eastAsia="pt-BR" w:bidi="ar-SA"/>
        </w:rPr>
        <w:t>- `spring-boot-starter-web`: Framework para desenvolvimento de aplicações web em Java.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 </w:t>
      </w:r>
      <w:r>
        <w:rPr>
          <w:rFonts w:cs="Times New Roman" w:ascii="Times New Roman" w:hAnsi="Times New Roman"/>
          <w:lang w:eastAsia="pt-BR" w:bidi="ar-SA"/>
        </w:rPr>
        <w:t>- `spring-boot-starter-data-jpa`: Integração de JPA para persistência de dados.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 </w:t>
      </w:r>
      <w:r>
        <w:rPr>
          <w:rFonts w:cs="Times New Roman" w:ascii="Times New Roman" w:hAnsi="Times New Roman"/>
          <w:lang w:eastAsia="pt-BR" w:bidi="ar-SA"/>
        </w:rPr>
        <w:t>- `mysql-connector-java`: Driver JDBC para conexão com MySQL.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</w:t>
      </w:r>
      <w:r>
        <w:rPr>
          <w:rFonts w:cs="Times New Roman" w:ascii="Times New Roman" w:hAnsi="Times New Roman"/>
          <w:lang w:eastAsia="pt-BR" w:bidi="ar-SA"/>
        </w:rPr>
        <w:t>Configuração do Banco de Dados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Banco de Dados MySQL: O banco de dados MySQL armazena todas as informações essenciais, como produtos, vendas e funcionários. As configurações de conexão estão definidas no arquivo `application.properties` do Spring Boot, incluindo a URL de conexão, usuário, senha e outras propriedades específicas.</w:t>
      </w:r>
    </w:p>
    <w:p>
      <w:pPr>
        <w:pStyle w:val="Heading1"/>
        <w:rPr>
          <w:lang w:eastAsia="pt-BR" w:bidi="ar-SA"/>
        </w:rPr>
      </w:pPr>
      <w:r>
        <w:rPr>
          <w:lang w:eastAsia="pt-BR" w:bidi="ar-SA"/>
        </w:rPr>
        <w:t xml:space="preserve"> </w:t>
      </w:r>
      <w:bookmarkStart w:id="10" w:name="_Toc175400979"/>
    </w:p>
    <w:p>
      <w:pPr>
        <w:pStyle w:val="Heading1"/>
        <w:rPr>
          <w:lang w:eastAsia="pt-BR" w:bidi="ar-SA"/>
        </w:rPr>
      </w:pPr>
      <w:r>
        <w:rPr>
          <w:lang w:eastAsia="pt-BR" w:bidi="ar-SA"/>
        </w:rPr>
        <w:t>6. Arquitetura do Sistema</w:t>
      </w:r>
      <w:bookmarkEnd w:id="10"/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</w:t>
      </w:r>
      <w:r>
        <w:rPr>
          <w:rFonts w:cs="Times New Roman" w:ascii="Times New Roman" w:hAnsi="Times New Roman"/>
          <w:lang w:eastAsia="pt-BR" w:bidi="ar-SA"/>
        </w:rPr>
        <w:t>Frontend (Vue.js)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Componentes Modulares: O frontend é dividido em componentes Vue, permitindo uma organização modular do código.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Vuetify: Utilizado para o design responsivo e consistente da interface de usuário.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Integração com API: O frontend se comunica com o backend através de `axios`, enviando e recebendo dados em formato JSON.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</w:t>
      </w:r>
      <w:r>
        <w:rPr>
          <w:rFonts w:cs="Times New Roman" w:ascii="Times New Roman" w:hAnsi="Times New Roman"/>
          <w:lang w:eastAsia="pt-BR" w:bidi="ar-SA"/>
        </w:rPr>
        <w:t>Backend (Spring Boot)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Arquitetura em Camadas: O backend segue uma arquitetura em camadas, com Controllers para a interface de aplicação, Services para a lógica de negócios e Repositories para a interação com o banco de dados.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Segurança: Implementação de autenticação e autorização utilizando Spring Security.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Persistência de Dados: Utilização do Spring Data JPA para mapeamento objeto-relacional (ORM).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Banco de Dados (MySQL)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Estrutura de Tabelas: O banco de dados é composto por tabelas que armazenam informações sobre produtos, vendas, funcionários, entre outros.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Relacionamentos: Relacionamentos entre as tabelas são mapeados utilizando JPA, como `OneToMany` para relacionar vendas a produtos.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/>
        <w:drawing>
          <wp:inline distT="0" distB="0" distL="0" distR="0">
            <wp:extent cx="5760085" cy="3765550"/>
            <wp:effectExtent l="0" t="0" r="0" b="0"/>
            <wp:docPr id="2" name="Figura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Heading1"/>
        <w:rPr>
          <w:lang w:eastAsia="pt-BR" w:bidi="ar-SA"/>
        </w:rPr>
      </w:pPr>
      <w:r>
        <w:rPr>
          <w:lang w:eastAsia="pt-BR" w:bidi="ar-SA"/>
        </w:rPr>
        <w:t xml:space="preserve"> </w:t>
      </w:r>
      <w:bookmarkStart w:id="11" w:name="_Toc175400980"/>
      <w:r>
        <w:rPr>
          <w:lang w:eastAsia="pt-BR" w:bidi="ar-SA"/>
        </w:rPr>
        <w:t>7. Detalhamento dos Componentes</w:t>
      </w:r>
      <w:bookmarkEnd w:id="11"/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</w:t>
      </w:r>
      <w:r>
        <w:rPr>
          <w:rFonts w:cs="Times New Roman" w:ascii="Times New Roman" w:hAnsi="Times New Roman"/>
          <w:lang w:eastAsia="pt-BR" w:bidi="ar-SA"/>
        </w:rPr>
        <w:t>Controladores (Controllers)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ProdutoController: Responsável por gerenciar as operações CRUD para produtos.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VendaController: Gerencia as operações relacionadas a vendas e exibição de gráficos de desempenho.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FuncionarioController: Cuida do gerenciamento dos funcionários, incluindo registro, edição e remoção.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GraficoController: Responsável por consultar dados para os graficos no front.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lang w:eastAsia="pt-BR" w:bidi="ar-SA"/>
        </w:rPr>
        <w:t>AuthController: Responsável pela autenticação de usuários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</w:t>
      </w:r>
      <w:r>
        <w:rPr>
          <w:rFonts w:cs="Times New Roman" w:ascii="Times New Roman" w:hAnsi="Times New Roman"/>
          <w:lang w:eastAsia="pt-BR" w:bidi="ar-SA"/>
        </w:rPr>
        <w:t>Modelos (Models)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ProdutoObj: Modelo que representa um produto no sistema, mapeado para a tabela `products` no MySQL.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VendaObj: Modelo que representa uma venda, incluindo detalhes dos produtos vendidos e a data da transação.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FuncionarioObj: Modelo que representa um funcionário, armazenando informações como nome, cargo e credenciais de acesso.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 xml:space="preserve"> </w:t>
      </w:r>
      <w:r>
        <w:rPr>
          <w:rFonts w:cs="Times New Roman" w:ascii="Times New Roman" w:hAnsi="Times New Roman"/>
          <w:lang w:eastAsia="pt-BR" w:bidi="ar-SA"/>
        </w:rPr>
        <w:t>Serviços (Services)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ProdutoService: Contém a lógica de negócios para operações com produtos.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VendaService: Encapsula a lógica de registro de vendas e geração de relatórios.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- FuncionarioService: Gerencia a lógica associada ao cadastro, edição e autenticação de funcionários.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Heading1"/>
        <w:rPr>
          <w:lang w:eastAsia="pt-BR" w:bidi="ar-SA"/>
        </w:rPr>
      </w:pPr>
      <w:bookmarkStart w:id="12" w:name="_Toc175400981"/>
      <w:r>
        <w:rPr>
          <w:lang w:eastAsia="pt-BR" w:bidi="ar-SA"/>
        </w:rPr>
        <w:t>8. Documentação da API</w:t>
      </w:r>
      <w:bookmarkEnd w:id="12"/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Endpoints Principais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Autenticação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POST /api/auth/usuario: Autentica um usuário e retorna um objeto FuncionarioObj com os detalhes do usuário autenticado.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Funcionários (/api/usuarios)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GET /api/usuarios: Retorna a lista de todos os funcionários.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GET /api/usuarios/{id}: Retorna os detalhes de um funcionário específico pelo ID.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POST /api/usuarios: Cria um novo funcionário.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PUT /api/usuarios/{id}: Atualiza as informações de um funcionário existente pelo ID.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DELETE /api/usuarios/{id}: Remove um funcionário pelo ID.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Gráficos de Vendas (/api/grafico)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GET /api/grafico/funcionario/{login}: Retorna os dados de vendas do funcionário logado e a venda geral, agrupados por mês.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Produtos (/api/produtos)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GET /api/produtos: Retorna a lista de todos os produtos.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GET /api/produtos/{id}: Retorna os detalhes de um produto específico pelo ID.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POST /api/produtos: Cria um novo produto.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PUT /api/produtos/{id}: Atualiza as informações de um produto existente pelo ID.</w:t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DELETE /api/produtos/{id}: Remove um produto pelo ID.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Vendas (/api/vendas)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GET /api/vendas: Retorna o histórico de todas as vendas.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GET /api/vendas/{id}: Retorna os detalhes de uma venda específica pelo ID.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POST /api/vendas: Registra uma nova venda e atualiza o estoque dos produtos.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PUT /api/vendas/{id}: Atualiza uma venda existente pelo ID.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rFonts w:ascii="Times New Roman" w:hAnsi="Times New Roman" w:cs="Times New Roman"/>
          <w:sz w:val="22"/>
          <w:szCs w:val="22"/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DELETE /api/vendas/{id}: Remove uma venda pelo ID.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lang w:eastAsia="pt-BR" w:bidi="ar-SA"/>
        </w:rPr>
      </w:pPr>
      <w:r>
        <w:rPr>
          <w:rFonts w:cs="Times New Roman" w:ascii="Times New Roman" w:hAnsi="Times New Roman"/>
          <w:sz w:val="22"/>
          <w:szCs w:val="22"/>
          <w:lang w:eastAsia="pt-BR" w:bidi="ar-SA"/>
        </w:rPr>
        <w:t>GET /api/vendas/relatorio: Gera um relatório de vendas dentro de um intervalo de datas especificado (startDate e endDate).</w:t>
      </w:r>
    </w:p>
    <w:p>
      <w:pPr>
        <w:pStyle w:val="Normal"/>
        <w:spacing w:lineRule="auto" w:line="360"/>
        <w:jc w:val="left"/>
        <w:rPr>
          <w:lang w:eastAsia="pt-BR" w:bidi="ar-SA"/>
        </w:rPr>
      </w:pPr>
      <w:r>
        <w:rPr>
          <w:lang w:eastAsia="pt-BR" w:bidi="ar-SA"/>
        </w:rPr>
      </w:r>
    </w:p>
    <w:p>
      <w:pPr>
        <w:pStyle w:val="Heading1"/>
        <w:rPr>
          <w:lang w:eastAsia="pt-BR" w:bidi="ar-SA"/>
        </w:rPr>
      </w:pPr>
      <w:r>
        <w:rPr>
          <w:lang w:eastAsia="pt-BR" w:bidi="ar-SA"/>
        </w:rPr>
        <w:t xml:space="preserve"> </w:t>
      </w:r>
      <w:bookmarkStart w:id="13" w:name="_Toc175400982"/>
      <w:r>
        <w:rPr>
          <w:lang w:eastAsia="pt-BR" w:bidi="ar-SA"/>
        </w:rPr>
        <w:t>9. Conclusão</w:t>
      </w:r>
      <w:bookmarkEnd w:id="13"/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lang w:eastAsia="pt-BR" w:bidi="ar-SA"/>
        </w:rPr>
      </w:pPr>
      <w:r>
        <w:rPr>
          <w:rFonts w:cs="Times New Roman" w:ascii="Times New Roman" w:hAnsi="Times New Roman"/>
          <w:lang w:eastAsia="pt-BR" w:bidi="ar-SA"/>
        </w:rPr>
        <w:t>Este documento fornece uma visão abrangente do sistema de e-commerce 'Magnetic', desde sua configuração e arquitetura até os componentes detalhados e a documentação da API. Ele serve como uma referência central para desenvolvedores, administradores e qualquer outra pessoa envolvida na manutenção ou evolução do sistema.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701" w:right="1134" w:gutter="0" w:header="709" w:top="1701" w:footer="709" w:bottom="1134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jc w:val="right"/>
      <w:rPr>
        <w:color w:val="000000"/>
      </w:rPr>
    </w:pPr>
    <w:r>
      <w:rPr>
        <w:color w:val="000000"/>
      </w:rPr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36244834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Lohit Devanagari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0"/>
      <w:jc w:val="both"/>
    </w:pPr>
    <w:rPr>
      <w:rFonts w:ascii="Calibri" w:hAnsi="Calibri" w:eastAsia="Noto Sans CJK SC Regular" w:cs="Lohit Devanagari"/>
      <w:color w:val="auto"/>
      <w:kern w:val="0"/>
      <w:sz w:val="24"/>
      <w:szCs w:val="24"/>
      <w:lang w:val="pt-BR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bidi w:val="0"/>
      <w:spacing w:lineRule="auto" w:line="259" w:before="480" w:after="0"/>
      <w:jc w:val="both"/>
      <w:outlineLvl w:val="0"/>
    </w:pPr>
    <w:rPr>
      <w:rFonts w:ascii="Times New Roman" w:hAnsi="Times New Roman" w:eastAsia="Times New Roman" w:cs="Times New Roman"/>
      <w:b/>
      <w:color w:val="000000"/>
      <w:kern w:val="0"/>
      <w:sz w:val="24"/>
      <w:szCs w:val="24"/>
      <w:lang w:val="pt-BR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bidi w:val="0"/>
      <w:spacing w:lineRule="auto" w:line="259" w:before="200" w:after="0"/>
      <w:jc w:val="both"/>
      <w:outlineLvl w:val="1"/>
    </w:pPr>
    <w:rPr>
      <w:rFonts w:ascii="Times New Roman" w:hAnsi="Times New Roman" w:eastAsia="Times New Roman" w:cs="Times New Roman"/>
      <w:b/>
      <w:color w:val="000000"/>
      <w:kern w:val="0"/>
      <w:sz w:val="24"/>
      <w:szCs w:val="24"/>
      <w:lang w:val="pt-BR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bidi w:val="0"/>
      <w:spacing w:lineRule="auto" w:line="259" w:before="200" w:after="0"/>
      <w:jc w:val="both"/>
      <w:outlineLvl w:val="2"/>
    </w:pPr>
    <w:rPr>
      <w:rFonts w:ascii="Times New Roman" w:hAnsi="Times New Roman" w:eastAsia="Times New Roman" w:cs="Times New Roman"/>
      <w:b/>
      <w:color w:val="000000"/>
      <w:kern w:val="0"/>
      <w:sz w:val="24"/>
      <w:szCs w:val="24"/>
      <w:lang w:val="pt-BR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bidi w:val="0"/>
      <w:spacing w:lineRule="auto" w:line="259" w:before="240" w:after="40"/>
      <w:jc w:val="both"/>
      <w:outlineLvl w:val="3"/>
    </w:pPr>
    <w:rPr>
      <w:rFonts w:ascii="Times New Roman" w:hAnsi="Times New Roman" w:eastAsia="Times New Roman" w:cs="Times New Roman"/>
      <w:b/>
      <w:color w:val="000000"/>
      <w:kern w:val="0"/>
      <w:sz w:val="24"/>
      <w:szCs w:val="24"/>
      <w:lang w:val="pt-BR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bidi w:val="0"/>
      <w:spacing w:before="220" w:after="40"/>
      <w:jc w:val="left"/>
      <w:outlineLvl w:val="4"/>
    </w:pPr>
    <w:rPr>
      <w:rFonts w:ascii="Calibri" w:hAnsi="Calibri" w:eastAsia="Noto Sans CJK SC Regular" w:cs="Lohit Devanagari"/>
      <w:b/>
      <w:color w:val="auto"/>
      <w:kern w:val="0"/>
      <w:sz w:val="22"/>
      <w:szCs w:val="22"/>
      <w:lang w:val="pt-BR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bidi w:val="0"/>
      <w:spacing w:before="200" w:after="40"/>
      <w:jc w:val="left"/>
      <w:outlineLvl w:val="5"/>
    </w:pPr>
    <w:rPr>
      <w:rFonts w:ascii="Calibri" w:hAnsi="Calibri" w:eastAsia="Noto Sans CJK SC Regular" w:cs="Lohit Devanagari"/>
      <w:b/>
      <w:color w:val="auto"/>
      <w:kern w:val="0"/>
      <w:sz w:val="20"/>
      <w:szCs w:val="20"/>
      <w:lang w:val="pt-BR"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b56f46"/>
    <w:rPr>
      <w:color w:themeColor="hyperlink" w:val="0000FF"/>
      <w:u w:val="single"/>
    </w:rPr>
  </w:style>
  <w:style w:type="character" w:styleId="Vnculodendice" w:customStyle="1">
    <w:name w:val="Vínculo de índice"/>
    <w:qFormat/>
    <w:rPr/>
  </w:style>
  <w:style w:type="character" w:styleId="CabealhoChar" w:customStyle="1">
    <w:name w:val="Cabeçalho Char"/>
    <w:basedOn w:val="DefaultParagraphFont"/>
    <w:uiPriority w:val="99"/>
    <w:qFormat/>
    <w:rsid w:val="00411ff9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6f46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le">
    <w:name w:val="Title"/>
    <w:basedOn w:val="LO-normal"/>
    <w:next w:val="BodyText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LO-normal" w:customStyle="1">
    <w:name w:val="LO-normal"/>
    <w:qFormat/>
    <w:pPr>
      <w:widowControl/>
      <w:bidi w:val="0"/>
      <w:spacing w:before="0" w:after="0"/>
      <w:jc w:val="both"/>
    </w:pPr>
    <w:rPr>
      <w:rFonts w:ascii="Calibri" w:hAnsi="Calibri" w:eastAsia="Noto Sans CJK SC Regular" w:cs="Lohit Devanagari"/>
      <w:color w:val="auto"/>
      <w:kern w:val="0"/>
      <w:sz w:val="24"/>
      <w:szCs w:val="24"/>
      <w:lang w:val="pt-BR" w:eastAsia="zh-CN" w:bidi="hi-IN"/>
    </w:rPr>
  </w:style>
  <w:style w:type="paragraph" w:styleId="Subtitle">
    <w:name w:val="Subtitle"/>
    <w:basedOn w:val="LO-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b36ea"/>
    <w:pPr>
      <w:widowControl/>
      <w:spacing w:before="240" w:after="0"/>
      <w:jc w:val="left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themeColor="accent1" w:themeShade="bf" w:val="365F91"/>
      <w:sz w:val="32"/>
      <w:szCs w:val="32"/>
      <w:lang w:eastAsia="pt-BR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9b36ea"/>
    <w:pPr>
      <w:widowControl/>
      <w:spacing w:before="0" w:after="100"/>
      <w:ind w:left="220"/>
      <w:jc w:val="left"/>
    </w:pPr>
    <w:rPr>
      <w:rFonts w:ascii="Cambria" w:hAnsi="Cambria" w:eastAsia="" w:cs="Times New Roman" w:asciiTheme="minorHAnsi" w:eastAsiaTheme="minorEastAsia" w:hAnsiTheme="minorHAnsi"/>
      <w:sz w:val="22"/>
      <w:szCs w:val="22"/>
      <w:lang w:eastAsia="pt-B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b36ea"/>
    <w:pPr>
      <w:widowControl/>
      <w:spacing w:before="0" w:after="100"/>
      <w:jc w:val="left"/>
    </w:pPr>
    <w:rPr>
      <w:rFonts w:ascii="Cambria" w:hAnsi="Cambria" w:eastAsia="" w:cs="Times New Roman" w:asciiTheme="minorHAnsi" w:eastAsiaTheme="minorEastAsia" w:hAnsiTheme="minorHAnsi"/>
      <w:sz w:val="22"/>
      <w:szCs w:val="22"/>
      <w:lang w:eastAsia="pt-BR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9b36ea"/>
    <w:pPr>
      <w:widowControl/>
      <w:spacing w:before="0" w:after="100"/>
      <w:ind w:left="440"/>
      <w:jc w:val="left"/>
    </w:pPr>
    <w:rPr>
      <w:rFonts w:ascii="Cambria" w:hAnsi="Cambria" w:eastAsia="" w:cs="Times New Roman" w:asciiTheme="minorHAnsi" w:eastAsiaTheme="minorEastAsia" w:hAnsiTheme="minorHAnsi"/>
      <w:sz w:val="22"/>
      <w:szCs w:val="22"/>
      <w:lang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8E7D0-C1BF-4545-A0AA-FF6D2BB02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LibreOffice/24.2.0.3$Windows_X86_64 LibreOffice_project/da48488a73ddd66ea24cf16bbc4f7b9c08e9bea1</Application>
  <AppVersion>15.0000</AppVersion>
  <Pages>11</Pages>
  <Words>1208</Words>
  <Characters>7245</Characters>
  <CharactersWithSpaces>8361</CharactersWithSpaces>
  <Paragraphs>114</Paragraphs>
  <Company>UniCEUB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2024-08-24T16:55:00Z</dcterms:created>
  <dc:creator>YAN MEDEIROS SOUZA SANTIAGO</dc:creator>
  <dc:description/>
  <dc:language>pt-BR</dc:language>
  <cp:lastModifiedBy/>
  <dcterms:modified xsi:type="dcterms:W3CDTF">2024-08-24T16:53:23Z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