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6C" w:rsidRDefault="00E7337F"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Hi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Meda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,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I was able to compute the DH parameters based off the link lengths provided in the manuals and confirming the link lengths through the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cartesian</w:t>
      </w:r>
      <w:proofErr w:type="spellEnd"/>
      <w:proofErr w:type="gram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coordinates shown on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SmartPad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. The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cartesian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coordinates predicted by the forward kinematics using these DH parameters match very well the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cartesian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coordinates from the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SmartPad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(This copied from a piece of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Matlab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code I had written, so please pardon the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Matlab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syntax)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% Define the parameters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Hbase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= 0.340;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d3 = 0.4;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d5 = 0.4;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Htool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= 0.0;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% Create the DH chain.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%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%        theta     d       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a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     alpha   prismatic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DHlbr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= [ 0        0        0      -pi/2      0      ;...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        0        0        0       pi/2      0      ;...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        0        d3       0       pi/2      0      ;...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        0        0        0      -pi/2      0      ;...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        0        d5       0      -pi/2      0      ;...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        0        0        0       pi/2      0      ;...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          0        0        0       0         0      ];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% Create the base frame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Tbase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= [eye(3) [0 ; 0 ;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Hbase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] ; 0 0 0 1];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% Create the tool frame w.r.t. DH output frame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Ttool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= [eye(3) [0 ; 0;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Htool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] ; 0 0 0 1];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Unfortunately, I cannot share the forward kinematics code which computes the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Jacobian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and gives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AFC6DB"/>
        </w:rPr>
        <w:t>cartesian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AFC6DB"/>
        </w:rPr>
        <w:t xml:space="preserve"> coordinates for given joint positions due to company policy. However, using the above DH parameters it's a matter of simply implementing the standard textbook forward kinematics (or using any number of 3rd party libraries/APIs that would do it for you).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I do not have the dynamic model of LBR IIWA 7 R800 (i.e. inertia matrix, gravity vector etc.), and would be very interested in learning if anyone else does.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AFC6DB"/>
        </w:rPr>
        <w:t>-Vinay</w:t>
      </w:r>
      <w:bookmarkStart w:id="0" w:name="_GoBack"/>
      <w:bookmarkEnd w:id="0"/>
    </w:p>
    <w:sectPr w:rsidR="007D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08"/>
    <w:rsid w:val="007D426C"/>
    <w:rsid w:val="00E7337F"/>
    <w:rsid w:val="00E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35E88-3E40-44A1-8C85-C6A670A7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</dc:creator>
  <cp:keywords/>
  <dc:description/>
  <cp:lastModifiedBy>Turki</cp:lastModifiedBy>
  <cp:revision>3</cp:revision>
  <dcterms:created xsi:type="dcterms:W3CDTF">2018-03-12T21:33:00Z</dcterms:created>
  <dcterms:modified xsi:type="dcterms:W3CDTF">2018-03-12T21:33:00Z</dcterms:modified>
</cp:coreProperties>
</file>