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READUS-PV Reporting Checklist</w:t>
      </w:r>
    </w:p>
    <w:p>
      <w:r>
        <w:t>This checklist is provided as a READUS-PV-aligned reporting checklist for the focused V2 FAERS/AEMS active-comparator disproportionality analysis. The checklist summarizes where key reporting items are addressed in the revised manuscript and supplementary materials.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READUS-PV item/domain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Location or response</w:t>
            </w:r>
          </w:p>
        </w:tc>
      </w:tr>
      <w:tr>
        <w:tc>
          <w:tcPr>
            <w:tcW w:type="dxa" w:w="2880"/>
          </w:tcPr>
          <w:p>
            <w:r>
              <w:t>Title/abstract identify data source and method</w:t>
            </w:r>
          </w:p>
        </w:tc>
        <w:tc>
          <w:tcPr>
            <w:tcW w:type="dxa" w:w="2880"/>
          </w:tcPr>
          <w:p>
            <w:r>
              <w:t>Reported</w:t>
            </w:r>
          </w:p>
        </w:tc>
        <w:tc>
          <w:tcPr>
            <w:tcW w:type="dxa" w:w="2880"/>
          </w:tcPr>
          <w:p>
            <w:r>
              <w:t>Title and abstract specify FAERS/AEMS and active-comparator disproportionality analysis.</w:t>
            </w:r>
          </w:p>
        </w:tc>
      </w:tr>
      <w:tr>
        <w:tc>
          <w:tcPr>
            <w:tcW w:type="dxa" w:w="2880"/>
          </w:tcPr>
          <w:p>
            <w:r>
              <w:t>Rationale and clinical question</w:t>
            </w:r>
          </w:p>
        </w:tc>
        <w:tc>
          <w:tcPr>
            <w:tcW w:type="dxa" w:w="2880"/>
          </w:tcPr>
          <w:p>
            <w:r>
              <w:t>Reported</w:t>
            </w:r>
          </w:p>
        </w:tc>
        <w:tc>
          <w:tcPr>
            <w:tcW w:type="dxa" w:w="2880"/>
          </w:tcPr>
          <w:p>
            <w:r>
              <w:t>Introduction explains antidepressant-associated sexual dysfunction and why vortioxetine vs escitalopram is clinically relevant.</w:t>
            </w:r>
          </w:p>
        </w:tc>
      </w:tr>
      <w:tr>
        <w:tc>
          <w:tcPr>
            <w:tcW w:type="dxa" w:w="2880"/>
          </w:tcPr>
          <w:p>
            <w:r>
              <w:t>Data source and timeframe</w:t>
            </w:r>
          </w:p>
        </w:tc>
        <w:tc>
          <w:tcPr>
            <w:tcW w:type="dxa" w:w="2880"/>
          </w:tcPr>
          <w:p>
            <w:r>
              <w:t>Revised</w:t>
            </w:r>
          </w:p>
        </w:tc>
        <w:tc>
          <w:tcPr>
            <w:tcW w:type="dxa" w:w="2880"/>
          </w:tcPr>
          <w:p>
            <w:r>
              <w:t>Methods state 48 quarterly ASCII extracts from 2014 Q1 through 2025 Q4; exact download date to be inserted.</w:t>
            </w:r>
          </w:p>
        </w:tc>
      </w:tr>
      <w:tr>
        <w:tc>
          <w:tcPr>
            <w:tcW w:type="dxa" w:w="2880"/>
          </w:tcPr>
          <w:p>
            <w:r>
              <w:t>Case/version deduplication</w:t>
            </w:r>
          </w:p>
        </w:tc>
        <w:tc>
          <w:tcPr>
            <w:tcW w:type="dxa" w:w="2880"/>
          </w:tcPr>
          <w:p>
            <w:r>
              <w:t>Reported</w:t>
            </w:r>
          </w:p>
        </w:tc>
        <w:tc>
          <w:tcPr>
            <w:tcW w:type="dxa" w:w="2880"/>
          </w:tcPr>
          <w:p>
            <w:r>
              <w:t>Latest CASEID version retained by FDA_DT and highest PRIMARYID; DELETE/DELETED files scanned.</w:t>
            </w:r>
          </w:p>
        </w:tc>
      </w:tr>
      <w:tr>
        <w:tc>
          <w:tcPr>
            <w:tcW w:type="dxa" w:w="2880"/>
          </w:tcPr>
          <w:p>
            <w:r>
              <w:t>Drug/exposure definition</w:t>
            </w:r>
          </w:p>
        </w:tc>
        <w:tc>
          <w:tcPr>
            <w:tcW w:type="dxa" w:w="2880"/>
          </w:tcPr>
          <w:p>
            <w:r>
              <w:t>Revised</w:t>
            </w:r>
          </w:p>
        </w:tc>
        <w:tc>
          <w:tcPr>
            <w:tcW w:type="dxa" w:w="2880"/>
          </w:tcPr>
          <w:p>
            <w:r>
              <w:t>Vortioxetine index and selected comparators mapped using prespecified dictionary.</w:t>
            </w:r>
          </w:p>
        </w:tc>
      </w:tr>
      <w:tr>
        <w:tc>
          <w:tcPr>
            <w:tcW w:type="dxa" w:w="2880"/>
          </w:tcPr>
          <w:p>
            <w:r>
              <w:t>Comparator/background definition</w:t>
            </w:r>
          </w:p>
        </w:tc>
        <w:tc>
          <w:tcPr>
            <w:tcW w:type="dxa" w:w="2880"/>
          </w:tcPr>
          <w:p>
            <w:r>
              <w:t>Revised</w:t>
            </w:r>
          </w:p>
        </w:tc>
        <w:tc>
          <w:tcPr>
            <w:tcW w:type="dxa" w:w="2880"/>
          </w:tcPr>
          <w:p>
            <w:r>
              <w:t>Primary analyses use selected active comparators, not full FAERS background.</w:t>
            </w:r>
          </w:p>
        </w:tc>
      </w:tr>
      <w:tr>
        <w:tc>
          <w:tcPr>
            <w:tcW w:type="dxa" w:w="2880"/>
          </w:tcPr>
          <w:p>
            <w:r>
              <w:t>Outcome/event definition</w:t>
            </w:r>
          </w:p>
        </w:tc>
        <w:tc>
          <w:tcPr>
            <w:tcW w:type="dxa" w:w="2880"/>
          </w:tcPr>
          <w:p>
            <w:r>
              <w:t>Revised</w:t>
            </w:r>
          </w:p>
        </w:tc>
        <w:tc>
          <w:tcPr>
            <w:tcW w:type="dxa" w:w="2880"/>
          </w:tcPr>
          <w:p>
            <w:r>
              <w:t>Narrow and broad sexual dysfunction PT dictionaries provided; domain definitions stated.</w:t>
            </w:r>
          </w:p>
        </w:tc>
      </w:tr>
      <w:tr>
        <w:tc>
          <w:tcPr>
            <w:tcW w:type="dxa" w:w="2880"/>
          </w:tcPr>
          <w:p>
            <w:r>
              <w:t>Indication restriction</w:t>
            </w:r>
          </w:p>
        </w:tc>
        <w:tc>
          <w:tcPr>
            <w:tcW w:type="dxa" w:w="2880"/>
          </w:tcPr>
          <w:p>
            <w:r>
              <w:t>Revised</w:t>
            </w:r>
          </w:p>
        </w:tc>
        <w:tc>
          <w:tcPr>
            <w:tcW w:type="dxa" w:w="2880"/>
          </w:tcPr>
          <w:p>
            <w:r>
              <w:t>Depression-related indication dictionary and PRIMARYID + DRUG_SEQ linkage described.</w:t>
            </w:r>
          </w:p>
        </w:tc>
      </w:tr>
      <w:tr>
        <w:tc>
          <w:tcPr>
            <w:tcW w:type="dxa" w:w="2880"/>
          </w:tcPr>
          <w:p>
            <w:r>
              <w:t>Sensitivity/stratified analyses</w:t>
            </w:r>
          </w:p>
        </w:tc>
        <w:tc>
          <w:tcPr>
            <w:tcW w:type="dxa" w:w="2880"/>
          </w:tcPr>
          <w:p>
            <w:r>
              <w:t>Reported</w:t>
            </w:r>
          </w:p>
        </w:tc>
        <w:tc>
          <w:tcPr>
            <w:tcW w:type="dxa" w:w="2880"/>
          </w:tcPr>
          <w:p>
            <w:r>
              <w:t>PS+SS, no-monotherapy, all-indications, broad endpoint, sex strata, source/country strata.</w:t>
            </w:r>
          </w:p>
        </w:tc>
      </w:tr>
      <w:tr>
        <w:tc>
          <w:tcPr>
            <w:tcW w:type="dxa" w:w="2880"/>
          </w:tcPr>
          <w:p>
            <w:r>
              <w:t>Statistical metrics</w:t>
            </w:r>
          </w:p>
        </w:tc>
        <w:tc>
          <w:tcPr>
            <w:tcW w:type="dxa" w:w="2880"/>
          </w:tcPr>
          <w:p>
            <w:r>
              <w:t>Revised</w:t>
            </w:r>
          </w:p>
        </w:tc>
        <w:tc>
          <w:tcPr>
            <w:tcW w:type="dxa" w:w="2880"/>
          </w:tcPr>
          <w:p>
            <w:r>
              <w:t>ROR primary; PRR and chi-square robustness supplied. Haldane correction described.</w:t>
            </w:r>
          </w:p>
        </w:tc>
      </w:tr>
      <w:tr>
        <w:tc>
          <w:tcPr>
            <w:tcW w:type="dxa" w:w="2880"/>
          </w:tcPr>
          <w:p>
            <w:r>
              <w:t>Cell counts and denominators</w:t>
            </w:r>
          </w:p>
        </w:tc>
        <w:tc>
          <w:tcPr>
            <w:tcW w:type="dxa" w:w="2880"/>
          </w:tcPr>
          <w:p>
            <w:r>
              <w:t>Revised</w:t>
            </w:r>
          </w:p>
        </w:tc>
        <w:tc>
          <w:tcPr>
            <w:tcW w:type="dxa" w:w="2880"/>
          </w:tcPr>
          <w:p>
            <w:r>
              <w:t>2 x 2 pairwise tables and final exposure counts supplied.</w:t>
            </w:r>
          </w:p>
        </w:tc>
      </w:tr>
      <w:tr>
        <w:tc>
          <w:tcPr>
            <w:tcW w:type="dxa" w:w="2880"/>
          </w:tcPr>
          <w:p>
            <w:r>
              <w:t>Interpretation and limitations</w:t>
            </w:r>
          </w:p>
        </w:tc>
        <w:tc>
          <w:tcPr>
            <w:tcW w:type="dxa" w:w="2880"/>
          </w:tcPr>
          <w:p>
            <w:r>
              <w:t>Revised</w:t>
            </w:r>
          </w:p>
        </w:tc>
        <w:tc>
          <w:tcPr>
            <w:tcW w:type="dxa" w:w="2880"/>
          </w:tcPr>
          <w:p>
            <w:r>
              <w:t>Spontaneous-reporting limitations, reporting bias, suspect-role circularity, and confounding discussed.</w:t>
            </w:r>
          </w:p>
        </w:tc>
      </w:tr>
      <w:tr>
        <w:tc>
          <w:tcPr>
            <w:tcW w:type="dxa" w:w="2880"/>
          </w:tcPr>
          <w:p>
            <w:r>
              <w:t>Reproducibility materials</w:t>
            </w:r>
          </w:p>
        </w:tc>
        <w:tc>
          <w:tcPr>
            <w:tcW w:type="dxa" w:w="2880"/>
          </w:tcPr>
          <w:p>
            <w:r>
              <w:t>Revised</w:t>
            </w:r>
          </w:p>
        </w:tc>
        <w:tc>
          <w:tcPr>
            <w:tcW w:type="dxa" w:w="2880"/>
          </w:tcPr>
          <w:p>
            <w:r>
              <w:t>Scripts, dictionaries, commands, and READUS-PV checklist included in supplementary package.</w:t>
            </w:r>
          </w:p>
        </w:tc>
      </w:tr>
    </w:tbl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