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Select one correct answer about spring bean life cycle.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The method annotated with @PostConstr</w:t>
      </w:r>
      <w:r>
        <w:rPr>
          <w:rFonts w:eastAsia="Times New Roman"/>
        </w:rPr>
        <w:t>uct is called before before the afterPropertiesSet callback method of the InitializingBean interface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1. In the bean lifecycle, method annotated with @PostConstruct is called after the properties set step and the BeanPostProcessors#postProcess</w:t>
      </w:r>
      <w:r>
        <w:rPr>
          <w:rFonts w:eastAsia="Times New Roman"/>
        </w:rPr>
        <w:t xml:space="preserve">BeforeInitialization step </w:t>
      </w:r>
      <w:r>
        <w:rPr>
          <w:rFonts w:eastAsia="Times New Roman"/>
        </w:rPr>
        <w:br/>
        <w:t xml:space="preserve">2. Destroy methods of prototype beans are never called </w:t>
      </w:r>
      <w:r>
        <w:rPr>
          <w:rFonts w:eastAsia="Times New Roman"/>
        </w:rPr>
        <w:br/>
        <w:t>3. In the bean lifecycle, the afterPropertiesSet callback method of the InitializingBean is called after the method annotated with the @PostConstruct annotation and before t</w:t>
      </w:r>
      <w:r>
        <w:rPr>
          <w:rFonts w:eastAsia="Times New Roman"/>
        </w:rPr>
        <w:t xml:space="preserve">he init-method declared in the XML configuration file. </w:t>
      </w:r>
      <w:r>
        <w:rPr>
          <w:rFonts w:eastAsia="Times New Roman"/>
        </w:rPr>
        <w:br/>
        <w:t>4. In the bean lifecycle, the method annotated with the @PreDestroy annotation is called before the destroy callback of the DisposableBean interface and before the destroy-method declared in the XML c</w:t>
      </w:r>
      <w:r>
        <w:rPr>
          <w:rFonts w:eastAsia="Times New Roman"/>
        </w:rPr>
        <w:t>onfiguration file.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What is/are typically case(s) where you usually need to manually instanciated an ApplicationContext?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In a standalone application started w</w:t>
      </w:r>
      <w:r>
        <w:rPr>
          <w:rFonts w:eastAsia="Times New Roman"/>
        </w:rPr>
        <w:t>ith a main method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Which one is not correct about the advantages for using Spring when writing integration tests?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Create mock or stub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Mocking or stubbing is more frequent in unit tests than in integratio</w:t>
      </w:r>
      <w:r>
        <w:rPr>
          <w:rFonts w:eastAsia="Times New Roman"/>
        </w:rPr>
        <w:t>n tests. And Spring does not provide any implementation or abstraction of mock framework.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What are the main advantage(s) for using Spring when writing unit tests?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>Your Answ</w:t>
      </w:r>
      <w:r>
        <w:rPr>
          <w:rFonts w:eastAsia="Times New Roman"/>
          <w:b/>
          <w:bCs/>
          <w:color w:val="FF0000"/>
        </w:rPr>
        <w:t xml:space="preserve">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Provide some mocks for servlet classes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What are the main advantage(s) for using Spring when writing unit tests? </w:t>
      </w:r>
      <w:r>
        <w:rPr>
          <w:rFonts w:eastAsia="Times New Roman"/>
        </w:rPr>
        <w:br/>
        <w:t xml:space="preserve">1. You don´t need Spring container to writer unit test </w:t>
      </w:r>
      <w:r>
        <w:rPr>
          <w:rFonts w:eastAsia="Times New Roman"/>
        </w:rPr>
        <w:br/>
        <w:t xml:space="preserve">2. Refer to the answer number 1. </w:t>
      </w:r>
      <w:r>
        <w:rPr>
          <w:rFonts w:eastAsia="Times New Roman"/>
        </w:rPr>
        <w:br/>
        <w:t>3. The org.springframework.mock package</w:t>
      </w:r>
      <w:r>
        <w:rPr>
          <w:rFonts w:eastAsia="Times New Roman"/>
        </w:rPr>
        <w:t xml:space="preserve"> provides mock classes like MockHttpSession or MockHttpContext. They could be helpful for unit test in the presentation layer and when you don´t use any mock framework such as Mockity or EasyMock.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What are the features of the XML &lt;context: namespace? Select correct option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@Autowired annotation enabling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Use &lt;tx:annotation-driven /&gt; to enable @Transactional annotation scanning </w:t>
      </w:r>
      <w:r>
        <w:rPr>
          <w:rFonts w:eastAsia="Times New Roman"/>
        </w:rPr>
        <w:br/>
        <w:t>2. Use &lt;aop:aspectj-autoproxy /&gt; to enable detecti</w:t>
      </w:r>
      <w:r>
        <w:rPr>
          <w:rFonts w:eastAsia="Times New Roman"/>
        </w:rPr>
        <w:t xml:space="preserve">on of @Aspect bean </w:t>
      </w:r>
      <w:r>
        <w:rPr>
          <w:rFonts w:eastAsia="Times New Roman"/>
        </w:rPr>
        <w:br/>
        <w:t>3. Turns on &lt;context:annotation-config /&gt; or &lt;context:component-scan /&gt; to enable @Autowiring annotation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Select correct statement about transactional support of the spring test module.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Transaction manager could be set within the @TransactionConfiguration ann</w:t>
      </w:r>
      <w:r>
        <w:rPr>
          <w:rFonts w:eastAsia="Times New Roman"/>
        </w:rPr>
        <w:t>otation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Select correct statement about developing integration test with Spring support.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context configuration could be</w:t>
      </w:r>
      <w:r>
        <w:rPr>
          <w:rFonts w:eastAsia="Times New Roman"/>
        </w:rPr>
        <w:t xml:space="preserve"> inherits from the super class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 xml:space="preserve">1. The Spring context is cached across tests unless you use @DirtiesContext annotation </w:t>
      </w:r>
      <w:r>
        <w:rPr>
          <w:rFonts w:eastAsia="Times New Roman"/>
        </w:rPr>
        <w:br/>
        <w:t xml:space="preserve">2. With the Spring test module, dependency injection is available in test case. So you may autowired the bean to test </w:t>
      </w:r>
      <w:r>
        <w:rPr>
          <w:rFonts w:eastAsia="Times New Roman"/>
        </w:rPr>
        <w:br/>
        <w:t>3. B</w:t>
      </w:r>
      <w:r>
        <w:rPr>
          <w:rFonts w:eastAsia="Times New Roman"/>
        </w:rPr>
        <w:t xml:space="preserve">y default, a @ContextConfiguration annoted class inherits the spring context configuration file locations defined by an annotated superclass. The inheritLocations of this attribute allows to change this default behavior.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4. If no context configuration fil</w:t>
      </w:r>
      <w:r>
        <w:rPr>
          <w:rFonts w:eastAsia="Times New Roman"/>
        </w:rPr>
        <w:t>e is provided to the @ContextConfiguration annotation, Spring use a file convention naming. It try to load a file named with the test class name and suffices by the "-context.xml" suffice (i.e. MyDaoTest-context.xml)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What statement is not correct in live environment? Select a unique answer.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All of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What is right about the spring test module?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>Your A</w:t>
      </w:r>
      <w:r>
        <w:rPr>
          <w:rFonts w:eastAsia="Times New Roman"/>
          <w:b/>
          <w:bCs/>
          <w:color w:val="FF0000"/>
        </w:rPr>
        <w:t xml:space="preserve">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None of the above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Descri</w:t>
      </w:r>
      <w:r>
        <w:rPr>
          <w:rFonts w:eastAsia="Times New Roman"/>
          <w:b/>
          <w:bCs/>
          <w:color w:val="000080"/>
        </w:rPr>
        <w:t xml:space="preserve">ption: </w:t>
      </w:r>
      <w:r>
        <w:rPr>
          <w:rFonts w:eastAsia="Times New Roman"/>
        </w:rPr>
        <w:t>None</w:t>
      </w:r>
    </w:p>
    <w:p w:rsidR="00000000" w:rsidRDefault="00117EC4">
      <w:pPr>
        <w:shd w:val="clear" w:color="auto" w:fill="FFFFFF"/>
        <w:divId w:val="1936130249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117EC4" w:rsidRDefault="00117EC4">
      <w:pPr>
        <w:shd w:val="clear" w:color="auto" w:fill="FFFFFF"/>
        <w:spacing w:after="240"/>
        <w:divId w:val="1936130249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Given the following configuration class, what are correct affirmations? Select one or more answers. </w:t>
      </w:r>
      <w:r>
        <w:rPr>
          <w:rFonts w:eastAsia="Times New Roman"/>
        </w:rPr>
        <w:br/>
        <w:t xml:space="preserve">public class ApplicationConfig { </w:t>
      </w:r>
      <w:r>
        <w:rPr>
          <w:rFonts w:eastAsia="Times New Roman"/>
        </w:rPr>
        <w:br/>
        <w:t xml:space="preserve">private DataSource dataSource; </w:t>
      </w:r>
      <w:r>
        <w:rPr>
          <w:rFonts w:eastAsia="Times New Roman"/>
        </w:rPr>
        <w:br/>
        <w:t xml:space="preserve">@Autowired </w:t>
      </w:r>
      <w:r>
        <w:rPr>
          <w:rFonts w:eastAsia="Times New Roman"/>
        </w:rPr>
        <w:br/>
        <w:t xml:space="preserve">public ApplicationConfig(DataSource dataSource) { </w:t>
      </w:r>
      <w:r>
        <w:rPr>
          <w:rFonts w:eastAsia="Times New Roman"/>
        </w:rPr>
        <w:br/>
        <w:t xml:space="preserve">this.dataSource </w:t>
      </w:r>
      <w:r>
        <w:rPr>
          <w:rFonts w:eastAsia="Times New Roman"/>
        </w:rPr>
        <w:t xml:space="preserve">= dataSource; 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  <w:t xml:space="preserve">@Bean(name="clientRepository") </w:t>
      </w:r>
      <w:r>
        <w:rPr>
          <w:rFonts w:eastAsia="Times New Roman"/>
        </w:rPr>
        <w:br/>
        <w:t xml:space="preserve">ClientRepository jpaClientRepository() { </w:t>
      </w:r>
      <w:r>
        <w:rPr>
          <w:rFonts w:eastAsia="Times New Roman"/>
        </w:rPr>
        <w:br/>
        <w:t xml:space="preserve">return new JpaClientRepository(); </w:t>
      </w:r>
      <w:r>
        <w:rPr>
          <w:rFonts w:eastAsia="Times New Roman"/>
        </w:rPr>
        <w:br/>
        <w:t xml:space="preserve">} </w:t>
      </w:r>
      <w:r>
        <w:rPr>
          <w:rFonts w:eastAsia="Times New Roman"/>
        </w:rPr>
        <w:br/>
        <w:t>}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Description of Quiz-3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Description of Quiz-3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@Configuration annotation is missing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1. In order to be taken into account by Spring, the ApplicationConfig class has to be annota</w:t>
      </w:r>
      <w:r>
        <w:rPr>
          <w:rFonts w:eastAsia="Times New Roman"/>
        </w:rPr>
        <w:t>ted with the @Configuration annotation</w:t>
      </w:r>
      <w:bookmarkStart w:id="0" w:name="_GoBack"/>
      <w:bookmarkEnd w:id="0"/>
    </w:p>
    <w:sectPr w:rsidR="0011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0090F"/>
    <w:multiLevelType w:val="multilevel"/>
    <w:tmpl w:val="4F3C2B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330B7"/>
    <w:rsid w:val="00117EC4"/>
    <w:rsid w:val="0073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6C14D"/>
  <w15:chartTrackingRefBased/>
  <w15:docId w15:val="{F9E7D4DD-3287-49E9-9259-B035E78A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24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6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Description%20of%20Quiz-3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2018-07-14T08:31:00Z</dcterms:created>
  <dcterms:modified xsi:type="dcterms:W3CDTF">2018-07-14T08:31:00Z</dcterms:modified>
</cp:coreProperties>
</file>