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34" w:rsidRDefault="008F7F34">
      <w:pPr>
        <w:shd w:val="clear" w:color="auto" w:fill="FFFFFF"/>
        <w:spacing w:after="240"/>
        <w:divId w:val="367149321"/>
        <w:rPr>
          <w:rFonts w:eastAsia="Times New Roman"/>
        </w:rPr>
      </w:pP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By default a bean is not </w:t>
      </w:r>
      <w:proofErr w:type="spellStart"/>
      <w:r>
        <w:rPr>
          <w:rFonts w:eastAsia="Times New Roman"/>
        </w:rPr>
        <w:t>autowired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False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When a bean has scope limited to only HTTP request, that is called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Request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By default a bean is eagerly initialized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True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Thread </w:t>
      </w:r>
      <w:r>
        <w:rPr>
          <w:rFonts w:eastAsia="Times New Roman"/>
        </w:rPr>
        <w:t xml:space="preserve">scope </w:t>
      </w:r>
      <w:proofErr w:type="gramStart"/>
      <w:r>
        <w:rPr>
          <w:rFonts w:eastAsia="Times New Roman"/>
        </w:rPr>
        <w:t>bean</w:t>
      </w:r>
      <w:proofErr w:type="gramEnd"/>
      <w:r>
        <w:rPr>
          <w:rFonts w:eastAsia="Times New Roman"/>
        </w:rPr>
        <w:t xml:space="preserve"> has been introduced in spring from the version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3.0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In which spring scope is a single bean instance created per </w:t>
      </w:r>
      <w:proofErr w:type="spellStart"/>
      <w:r>
        <w:rPr>
          <w:rFonts w:eastAsia="Times New Roman"/>
        </w:rPr>
        <w:t>IoC</w:t>
      </w:r>
      <w:proofErr w:type="spellEnd"/>
      <w:r>
        <w:rPr>
          <w:rFonts w:eastAsia="Times New Roman"/>
        </w:rPr>
        <w:t xml:space="preserve"> container?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lastRenderedPageBreak/>
        <w:t xml:space="preserve">Correct Answer: </w:t>
      </w:r>
      <w:r>
        <w:rPr>
          <w:rFonts w:eastAsia="Times New Roman"/>
        </w:rPr>
        <w:t>Singleton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InitializingBean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DisposableBean</w:t>
      </w:r>
      <w:proofErr w:type="spellEnd"/>
      <w:r>
        <w:rPr>
          <w:rFonts w:eastAsia="Times New Roman"/>
        </w:rPr>
        <w:t xml:space="preserve"> is used to customize the nature of bean in spring.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What is the scope of stateless bean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 sco</w:t>
      </w:r>
      <w:r>
        <w:rPr>
          <w:rFonts w:eastAsia="Times New Roman"/>
        </w:rPr>
        <w:t>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 the scope of a bean by default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Can the class which spring container makes subclass be fina</w:t>
      </w:r>
      <w:r>
        <w:rPr>
          <w:rFonts w:eastAsia="Times New Roman"/>
        </w:rPr>
        <w:t>l?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No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76785">
      <w:pPr>
        <w:shd w:val="clear" w:color="auto" w:fill="FFFFFF"/>
        <w:divId w:val="367149321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376785" w:rsidRDefault="00376785">
      <w:pPr>
        <w:shd w:val="clear" w:color="auto" w:fill="FFFFFF"/>
        <w:spacing w:after="240"/>
        <w:divId w:val="367149321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What is the role of </w:t>
      </w:r>
      <w:proofErr w:type="spellStart"/>
      <w:r>
        <w:rPr>
          <w:rFonts w:eastAsia="Times New Roman"/>
        </w:rPr>
        <w:t>ApplicationContextAware</w:t>
      </w:r>
      <w:proofErr w:type="spellEnd"/>
      <w:r>
        <w:rPr>
          <w:rFonts w:eastAsia="Times New Roman"/>
        </w:rPr>
        <w:t xml:space="preserve">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Mis-Quiz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Mis-Quiz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Correct Ans</w:t>
      </w:r>
      <w:r>
        <w:rPr>
          <w:rFonts w:eastAsia="Times New Roman"/>
          <w:b/>
          <w:bCs/>
          <w:color w:val="000080"/>
        </w:rPr>
        <w:t xml:space="preserve">wer: </w:t>
      </w:r>
      <w:r>
        <w:rPr>
          <w:rFonts w:eastAsia="Times New Roman"/>
        </w:rPr>
        <w:t>Makes a bean aware to the container.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  <w:bookmarkStart w:id="0" w:name="_GoBack"/>
      <w:bookmarkEnd w:id="0"/>
    </w:p>
    <w:sectPr w:rsidR="0037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7853"/>
    <w:multiLevelType w:val="multilevel"/>
    <w:tmpl w:val="B9F68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F7F34"/>
    <w:rsid w:val="00376785"/>
    <w:rsid w:val="008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2D23C"/>
  <w15:chartTrackingRefBased/>
  <w15:docId w15:val="{81B0CC1A-5F4F-44F8-8A3F-D92E301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31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Mis-Quiz1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2018-07-14T09:22:00Z</dcterms:created>
  <dcterms:modified xsi:type="dcterms:W3CDTF">2018-07-14T09:22:00Z</dcterms:modified>
</cp:coreProperties>
</file>