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Which bean scope is used in portlet context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Global session scope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In which spring scope can any number of instances of bean be created?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Correct</w:t>
      </w:r>
      <w:r>
        <w:rPr>
          <w:rFonts w:eastAsia="Times New Roman"/>
          <w:b/>
          <w:bCs/>
          <w:color w:val="000080"/>
        </w:rPr>
        <w:t xml:space="preserve"> Answer: </w:t>
      </w:r>
      <w:r>
        <w:rPr>
          <w:rFonts w:eastAsia="Times New Roman"/>
        </w:rPr>
        <w:t>Prototype scope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How to control a bean lifecycle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Using InitializingBean and DisposableBean or init() method.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How to shutdown the Spring IoC container gracefully in non-web applications?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registerShutdownHook()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40" style="width:0;height:.75pt" o:hralign="center" o:hrstd="t" o:hrnoshade="t" o:hr="t" fillcolor="#d4d4d4" stroked="f"/>
        </w:pict>
      </w:r>
    </w:p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is the scope of statefull bean in spring?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Prototype scope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In which spring scope is a single bean instance created per IoC container?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 scope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Thread scope bean has been introduced in spring from the version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Correct Ans</w:t>
      </w:r>
      <w:r>
        <w:rPr>
          <w:rFonts w:eastAsia="Times New Roman"/>
          <w:b/>
          <w:bCs/>
          <w:color w:val="000080"/>
        </w:rPr>
        <w:t xml:space="preserve">wer: </w:t>
      </w:r>
      <w:r>
        <w:rPr>
          <w:rFonts w:eastAsia="Times New Roman"/>
        </w:rPr>
        <w:t>Spring 3.0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When a bean has scope limited to only HTTP request, that is called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Request scope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InitializingBean and DisposableBean is used to customize the </w:t>
      </w:r>
      <w:r>
        <w:rPr>
          <w:rFonts w:eastAsia="Times New Roman"/>
        </w:rPr>
        <w:t>nature of bean in spring.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39528F">
      <w:pPr>
        <w:shd w:val="clear" w:color="auto" w:fill="FFFFFF"/>
        <w:divId w:val="1867716202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39528F" w:rsidRDefault="0039528F">
      <w:pPr>
        <w:shd w:val="clear" w:color="auto" w:fill="FFFFFF"/>
        <w:spacing w:after="240"/>
        <w:divId w:val="186771620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When a bean has scope limited to HTTP session, that is called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Mis-Quiz2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Mis-Quiz2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Corre</w:t>
      </w:r>
      <w:r>
        <w:rPr>
          <w:rFonts w:eastAsia="Times New Roman"/>
          <w:b/>
          <w:bCs/>
          <w:color w:val="000080"/>
        </w:rPr>
        <w:t xml:space="preserve">ct Answer: </w:t>
      </w:r>
      <w:r>
        <w:rPr>
          <w:rFonts w:eastAsia="Times New Roman"/>
        </w:rPr>
        <w:t>Session scope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  <w:bookmarkStart w:id="0" w:name="_GoBack"/>
      <w:bookmarkEnd w:id="0"/>
    </w:p>
    <w:sectPr w:rsidR="0039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40E26"/>
    <w:multiLevelType w:val="multilevel"/>
    <w:tmpl w:val="19202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52367"/>
    <w:rsid w:val="0039528F"/>
    <w:rsid w:val="0085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4A062"/>
  <w15:chartTrackingRefBased/>
  <w15:docId w15:val="{04C27EA2-7572-40DB-878D-3A39C389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6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0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C:\Users\IBM_ADMIN\Music\Mis-Quiz2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2018-07-14T09:26:00Z</dcterms:created>
  <dcterms:modified xsi:type="dcterms:W3CDTF">2018-07-14T09:26:00Z</dcterms:modified>
</cp:coreProperties>
</file>