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is true about Spring security configuration and the security namespace?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patterns declared into the intercept-url tag are analyzed from up to bottom. Winning is the first that matches.</w:t>
      </w:r>
    </w:p>
    <w:p>
      <w:pPr>
        <w:pStyle w:val="Normal"/>
        <w:shd w:val="clear" w:color="auto" w:fill="FFFFFF"/>
        <w:spacing w:before="0" w:after="240"/>
        <w:rPr>
          <w:rFonts w:eastAsia="Times New Roman"/>
        </w:rPr>
      </w:pPr>
      <w:r>
        <w:rP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Where do you cannot declare Spring MVC controller? Select correct answer.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Into the web.xml file of the web application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is the purpose of the @ManageResource annotation?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Identify a Spring bean as a JMX MBean</w:t>
      </w:r>
    </w:p>
    <w:p>
      <w:pPr>
        <w:pStyle w:val="Normal"/>
        <w:shd w:val="clear" w:color="auto" w:fill="FFFFFF"/>
        <w:rPr/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rPr/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is the method that is not provided by the JmsTemplate Spring class?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onMessage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could not return a Spring MVC controller? Select a single answer.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absolute path to the view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exact about the HttpInvokerServiceExporter?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Has to run into a HTPP server as Jetty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What is the easiest method to write a unit test?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 xml:space="preserve">@RequestMapping("/displayAccount") </w:t>
        <w:br/>
        <w:t>String displayAccount(@RequestParam("accountId") int id, Model model)</w:t>
        <w:br/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What do you have to do even if you are using the RMI Spring Remoting support? 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Implements the Serializable interface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181</Words>
  <Characters>993</Characters>
  <CharactersWithSpaces>1185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2018-07-14T09:28:00Z</dcterms:created>
  <dc:creator>Balkrishna Londhe</dc:creator>
  <dc:description/>
  <dc:language>en-IN</dc:language>
  <cp:lastModifiedBy/>
  <dcterms:modified xsi:type="dcterms:W3CDTF">2019-03-27T10:35:17Z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