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Calibri" w:cs="Calibri" w:eastAsia="Calibri" w:hAnsi="Calibri"/>
          <w:b/>
          <w:bCs/>
          <w:color w:val="101A2B"/>
          <w:sz w:val="56"/>
          <w:szCs w:val="56"/>
        </w:rPr>
        <w:t xml:space="preserve">SMART LENDER</w:t>
      </w:r>
    </w:p>
    <w:p>
      <w:pPr>
        <w:spacing w:after="400"/>
        <w:jc w:val="center"/>
      </w:pPr>
      <w:r>
        <w:rPr>
          <w:rFonts w:ascii="Calibri" w:cs="Calibri" w:eastAsia="Calibri" w:hAnsi="Calibri"/>
          <w:color w:val="2E7D6B"/>
          <w:sz w:val="28"/>
          <w:szCs w:val="28"/>
        </w:rPr>
        <w:t xml:space="preserve">ML-Powered Loan Approval Prediction System</w:t>
      </w:r>
    </w:p>
    <w:p>
      <w:pPr>
        <w:pBdr>
          <w:top w:val="single" w:color="C99A3E" w:sz="6" w:space="10"/>
        </w:pBdr>
        <w:spacing w:after="100"/>
        <w:jc w:val="center"/>
      </w:pPr>
    </w:p>
    <w:p>
      <w:pPr>
        <w:spacing w:after="60" w:before="800"/>
        <w:jc w:val="center"/>
      </w:pPr>
      <w:r>
        <w:rPr>
          <w:rFonts w:ascii="Calibri" w:cs="Calibri" w:eastAsia="Calibri" w:hAnsi="Calibri"/>
          <w:color w:val="101A2B"/>
          <w:sz w:val="24"/>
          <w:szCs w:val="24"/>
        </w:rPr>
        <w:t xml:space="preserve">Project Documentation</w:t>
      </w:r>
    </w:p>
    <w:p>
      <w:pPr>
        <w:spacing w:after="60"/>
        <w:jc w:val="center"/>
      </w:pPr>
      <w:r>
        <w:rPr>
          <w:rFonts w:ascii="Calibri" w:cs="Calibri" w:eastAsia="Calibri" w:hAnsi="Calibri"/>
          <w:color w:val="6B7280"/>
          <w:sz w:val="20"/>
          <w:szCs w:val="20"/>
        </w:rPr>
        <w:t xml:space="preserve">Full-Stack Development Bootcamp Submission</w:t>
      </w:r>
    </w:p>
    <w:p>
      <w:pPr>
        <w:spacing w:before="900"/>
        <w:jc w:val="center"/>
      </w:pPr>
      <w:r>
        <w:rPr>
          <w:rFonts w:ascii="Calibri" w:cs="Calibri" w:eastAsia="Calibri" w:hAnsi="Calibri"/>
          <w:color w:val="101A2B"/>
          <w:sz w:val="20"/>
          <w:szCs w:val="20"/>
        </w:rPr>
        <w:t xml:space="preserve">Prepared by: Thalathoti Hepsiba</w:t>
      </w:r>
    </w:p>
    <w:p>
      <w:pPr>
        <w:spacing w:after="60"/>
        <w:jc w:val="center"/>
      </w:pPr>
      <w:r>
        <w:rPr>
          <w:rFonts w:ascii="Calibri" w:cs="Calibri" w:eastAsia="Calibri" w:hAnsi="Calibri"/>
          <w:color w:val="6B7280"/>
          <w:sz w:val="20"/>
          <w:szCs w:val="20"/>
        </w:rPr>
        <w:t xml:space="preserve">July 2026</w:t>
      </w:r>
    </w:p>
    <w:p>
      <w:pPr>
        <w:spacing w:after="40" w:before="300"/>
        <w:jc w:val="center"/>
      </w:pPr>
      <w:r>
        <w:rPr>
          <w:rFonts w:ascii="Calibri" w:cs="Calibri" w:eastAsia="Calibri" w:hAnsi="Calibri"/>
          <w:color w:val="6B7280"/>
          <w:sz w:val="18"/>
          <w:szCs w:val="18"/>
        </w:rPr>
        <w:t xml:space="preserve">Live demo: </w:t>
      </w:r>
      <w:r>
        <w:rPr>
          <w:rFonts w:ascii="Calibri" w:cs="Calibri" w:eastAsia="Calibri" w:hAnsi="Calibri"/>
          <w:color w:val="2E7D6B"/>
          <w:sz w:val="18"/>
          <w:szCs w:val="18"/>
        </w:rPr>
        <w:t xml:space="preserve">https://smartlender-kjgl.onrender.com/</w:t>
      </w:r>
    </w:p>
    <w:p>
      <w:pPr>
        <w:jc w:val="center"/>
      </w:pPr>
      <w:r>
        <w:rPr>
          <w:rFonts w:ascii="Calibri" w:cs="Calibri" w:eastAsia="Calibri" w:hAnsi="Calibri"/>
          <w:color w:val="6B7280"/>
          <w:sz w:val="18"/>
          <w:szCs w:val="18"/>
        </w:rPr>
        <w:t xml:space="preserve">GitHub: </w:t>
      </w:r>
      <w:r>
        <w:rPr>
          <w:rFonts w:ascii="Calibri" w:cs="Calibri" w:eastAsia="Calibri" w:hAnsi="Calibri"/>
          <w:color w:val="2E7D6B"/>
          <w:sz w:val="18"/>
          <w:szCs w:val="18"/>
        </w:rPr>
        <w:t xml:space="preserve">github.com/thalathotihepsiba/SmartLender</w:t>
      </w:r>
    </w:p>
    <w:p>
      <w:r>
        <w:br w:type="page"/>
      </w:r>
    </w:p>
    <w:p>
      <w:pPr>
        <w:pStyle w:val="Heading1"/>
        <w:pBdr>
          <w:bottom w:val="single" w:color="2E7D6B" w:sz="6" w:space="4"/>
        </w:pBdr>
        <w:spacing w:after="200" w:before="400"/>
      </w:pPr>
      <w:r>
        <w:rPr>
          <w:rFonts w:ascii="Calibri" w:cs="Calibri" w:eastAsia="Calibri" w:hAnsi="Calibri"/>
          <w:b/>
          <w:bCs/>
          <w:color w:val="101A2B"/>
          <w:sz w:val="30"/>
          <w:szCs w:val="30"/>
        </w:rPr>
        <w:t xml:space="preserve">1. Introduction</w:t>
      </w:r>
    </w:p>
    <w:p>
      <w:pPr>
        <w:pStyle w:val="Heading2"/>
        <w:spacing w:after="140" w:before="280"/>
      </w:pPr>
      <w:r>
        <w:rPr>
          <w:rFonts w:ascii="Calibri" w:cs="Calibri" w:eastAsia="Calibri" w:hAnsi="Calibri"/>
          <w:b/>
          <w:bCs/>
          <w:color w:val="2E7D6B"/>
          <w:sz w:val="24"/>
          <w:szCs w:val="24"/>
        </w:rPr>
        <w:t xml:space="preserve">Project Title</w:t>
      </w:r>
    </w:p>
    <w:p>
      <w:pPr>
        <w:spacing w:after="160" w:line="300"/>
      </w:pPr>
      <w:r>
        <w:rPr>
          <w:rFonts w:ascii="Calibri" w:cs="Calibri" w:eastAsia="Calibri" w:hAnsi="Calibri"/>
          <w:color w:val="101A2B"/>
          <w:sz w:val="22"/>
          <w:szCs w:val="22"/>
        </w:rPr>
        <w:t xml:space="preserve">Smart Lender — ML-Powered Loan Approval Prediction System</w:t>
      </w:r>
    </w:p>
    <w:p>
      <w:pPr>
        <w:pStyle w:val="Heading2"/>
        <w:spacing w:after="140" w:before="280"/>
      </w:pPr>
      <w:r>
        <w:rPr>
          <w:rFonts w:ascii="Calibri" w:cs="Calibri" w:eastAsia="Calibri" w:hAnsi="Calibri"/>
          <w:b/>
          <w:bCs/>
          <w:color w:val="2E7D6B"/>
          <w:sz w:val="24"/>
          <w:szCs w:val="24"/>
        </w:rPr>
        <w:t xml:space="preserve">Team Members</w:t>
      </w:r>
    </w:p>
    <w:tbl>
      <w:tblPr>
        <w:tblW w:type="dxa" w:w="9350"/>
        <w:tblBorders>
          <w:top w:val="single" w:color="DDD6C4" w:sz="4"/>
          <w:left w:val="single" w:color="DDD6C4" w:sz="4"/>
          <w:bottom w:val="single" w:color="DDD6C4" w:sz="4"/>
          <w:right w:val="single" w:color="DDD6C4" w:sz="4"/>
          <w:insideH w:val="single" w:color="DDD6C4" w:sz="4"/>
          <w:insideV w:val="single" w:color="DDD6C4" w:sz="4"/>
        </w:tblBorders>
      </w:tblPr>
      <w:tblGrid>
        <w:gridCol w:w="4000"/>
        <w:gridCol w:w="5350"/>
      </w:tblGrid>
      <w:tr>
        <w:trPr>
          <w:tblHeader/>
        </w:trPr>
        <w:tc>
          <w:tcPr>
            <w:tcW w:type="dxa" w:w="4000"/>
            <w:shd w:fill="101A2B"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Name</w:t>
            </w:r>
          </w:p>
        </w:tc>
        <w:tc>
          <w:tcPr>
            <w:tcW w:type="dxa" w:w="5350"/>
            <w:shd w:fill="101A2B"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Role</w:t>
            </w:r>
          </w:p>
        </w:tc>
      </w:tr>
      <w:tr>
        <w:tc>
          <w:tcPr>
            <w:tcW w:type="dxa" w:w="4000"/>
            <w:tcMar>
              <w:top w:type="dxa" w:w="100"/>
              <w:left w:type="dxa" w:w="120"/>
              <w:bottom w:type="dxa" w:w="100"/>
              <w:right w:type="dxa" w:w="120"/>
            </w:tcMar>
          </w:tcPr>
          <w:p>
            <w:pPr>
              <w:spacing w:after="0"/>
            </w:pPr>
            <w:r>
              <w:rPr>
                <w:rFonts w:ascii="Calibri" w:cs="Calibri" w:eastAsia="Calibri" w:hAnsi="Calibri"/>
                <w:color w:val="101A2B"/>
                <w:sz w:val="20"/>
                <w:szCs w:val="20"/>
              </w:rPr>
              <w:t xml:space="preserve">Thalathoti Hepsiba</w:t>
            </w:r>
          </w:p>
        </w:tc>
        <w:tc>
          <w:tcPr>
            <w:tcW w:type="dxa" w:w="5350"/>
            <w:tcMar>
              <w:top w:type="dxa" w:w="100"/>
              <w:left w:type="dxa" w:w="120"/>
              <w:bottom w:type="dxa" w:w="100"/>
              <w:right w:type="dxa" w:w="120"/>
            </w:tcMar>
          </w:tcPr>
          <w:p>
            <w:pPr>
              <w:spacing w:after="0"/>
            </w:pPr>
            <w:r>
              <w:rPr>
                <w:rFonts w:ascii="Calibri" w:cs="Calibri" w:eastAsia="Calibri" w:hAnsi="Calibri"/>
                <w:color w:val="101A2B"/>
                <w:sz w:val="20"/>
                <w:szCs w:val="20"/>
              </w:rPr>
              <w:t xml:space="preserve">Full-stack developer — data pipeline, model training, Flask application, and UI</w:t>
            </w:r>
          </w:p>
        </w:tc>
      </w:tr>
    </w:tbl>
    <w:p>
      <w:pPr>
        <w:spacing w:after="160" w:line="300"/>
      </w:pPr>
      <w:r>
        <w:rPr>
          <w:rFonts w:ascii="Calibri" w:cs="Calibri" w:eastAsia="Calibri" w:hAnsi="Calibri"/>
          <w:color w:val="2E7D6B"/>
          <w:sz w:val="22"/>
          <w:szCs w:val="22"/>
        </w:rPr>
        <w:t xml:space="preserve">Live demo: https://smartlender-kjgl.onrender.com/</w:t>
      </w:r>
    </w:p>
    <w:p>
      <w:pPr>
        <w:spacing w:after="160" w:line="300"/>
      </w:pPr>
      <w:r>
        <w:rPr>
          <w:rFonts w:ascii="Calibri" w:cs="Calibri" w:eastAsia="Calibri" w:hAnsi="Calibri"/>
          <w:color w:val="2E7D6B"/>
          <w:sz w:val="22"/>
          <w:szCs w:val="22"/>
        </w:rPr>
        <w:t xml:space="preserve">Source code: https://github.com/thalathotihepsiba/SmartLender</w:t>
      </w:r>
    </w:p>
    <w:p>
      <w:pPr>
        <w:pStyle w:val="Heading1"/>
        <w:pBdr>
          <w:bottom w:val="single" w:color="2E7D6B" w:sz="6" w:space="4"/>
        </w:pBdr>
        <w:spacing w:after="200" w:before="400"/>
      </w:pPr>
      <w:r>
        <w:rPr>
          <w:rFonts w:ascii="Calibri" w:cs="Calibri" w:eastAsia="Calibri" w:hAnsi="Calibri"/>
          <w:b/>
          <w:bCs/>
          <w:color w:val="101A2B"/>
          <w:sz w:val="30"/>
          <w:szCs w:val="30"/>
        </w:rPr>
        <w:t xml:space="preserve">2. Project Overview</w:t>
      </w:r>
    </w:p>
    <w:p>
      <w:pPr>
        <w:pStyle w:val="Heading2"/>
        <w:spacing w:after="140" w:before="280"/>
      </w:pPr>
      <w:r>
        <w:rPr>
          <w:rFonts w:ascii="Calibri" w:cs="Calibri" w:eastAsia="Calibri" w:hAnsi="Calibri"/>
          <w:b/>
          <w:bCs/>
          <w:color w:val="2E7D6B"/>
          <w:sz w:val="24"/>
          <w:szCs w:val="24"/>
        </w:rPr>
        <w:t xml:space="preserve">Purpose</w:t>
      </w:r>
    </w:p>
    <w:p>
      <w:pPr>
        <w:spacing w:after="160" w:line="300"/>
      </w:pPr>
      <w:r>
        <w:rPr>
          <w:rFonts w:ascii="Calibri" w:cs="Calibri" w:eastAsia="Calibri" w:hAnsi="Calibri"/>
          <w:color w:val="101A2B"/>
          <w:sz w:val="22"/>
          <w:szCs w:val="22"/>
        </w:rPr>
        <w:t xml:space="preserve">Smart Lender is a machine learning-powered web application that predicts loan applicant creditworthiness so credit officers and financial analysts can make faster, data-driven approval decisions. An applicant's financial and demographic details are submitted through a web form, scored in real time by a trained classifier, and returned as an approve/decline recommendation with a confidence gauge — a decision aid rather than a final underwriting determination.</w:t>
      </w:r>
    </w:p>
    <w:p>
      <w:pPr>
        <w:pStyle w:val="Heading2"/>
        <w:spacing w:after="140" w:before="280"/>
      </w:pPr>
      <w:r>
        <w:rPr>
          <w:rFonts w:ascii="Calibri" w:cs="Calibri" w:eastAsia="Calibri" w:hAnsi="Calibri"/>
          <w:b/>
          <w:bCs/>
          <w:color w:val="2E7D6B"/>
          <w:sz w:val="24"/>
          <w:szCs w:val="24"/>
        </w:rPr>
        <w:t xml:space="preserve">Features</w:t>
      </w:r>
    </w:p>
    <w:p>
      <w:pPr>
        <w:pStyle w:val="ListParagraph"/>
        <w:numPr>
          <w:ilvl w:val="0"/>
          <w:numId w:val="2"/>
        </w:numPr>
        <w:spacing w:after="80"/>
      </w:pPr>
      <w:r>
        <w:rPr>
          <w:rFonts w:ascii="Calibri" w:cs="Calibri" w:eastAsia="Calibri" w:hAnsi="Calibri"/>
          <w:color w:val="101A2B"/>
          <w:sz w:val="22"/>
          <w:szCs w:val="22"/>
        </w:rPr>
        <w:t xml:space="preserve">Real-time credit evaluation form covering applicant profile, income, and loan terms.</w:t>
      </w:r>
    </w:p>
    <w:p>
      <w:pPr>
        <w:pStyle w:val="ListParagraph"/>
        <w:numPr>
          <w:ilvl w:val="0"/>
          <w:numId w:val="2"/>
        </w:numPr>
        <w:spacing w:after="80"/>
      </w:pPr>
      <w:r>
        <w:rPr>
          <w:rFonts w:ascii="Calibri" w:cs="Calibri" w:eastAsia="Calibri" w:hAnsi="Calibri"/>
          <w:color w:val="101A2B"/>
          <w:sz w:val="22"/>
          <w:szCs w:val="22"/>
        </w:rPr>
        <w:t xml:space="preserve">Automatic model selection: four classifiers — Decision Tree, Random Forest, K-Nearest Neighbors, and XGBoost — are trained and compared, and the best test-accuracy performer is persisted for serving.</w:t>
      </w:r>
    </w:p>
    <w:p>
      <w:pPr>
        <w:pStyle w:val="ListParagraph"/>
        <w:numPr>
          <w:ilvl w:val="0"/>
          <w:numId w:val="2"/>
        </w:numPr>
        <w:spacing w:after="80"/>
      </w:pPr>
      <w:r>
        <w:rPr>
          <w:rFonts w:ascii="Calibri" w:cs="Calibri" w:eastAsia="Calibri" w:hAnsi="Calibri"/>
          <w:color w:val="101A2B"/>
          <w:sz w:val="22"/>
          <w:szCs w:val="22"/>
        </w:rPr>
        <w:t xml:space="preserve">Missing-value handling: categorical fields imputed with the mode, numeric fields with the median.</w:t>
      </w:r>
    </w:p>
    <w:p>
      <w:pPr>
        <w:pStyle w:val="ListParagraph"/>
        <w:numPr>
          <w:ilvl w:val="0"/>
          <w:numId w:val="2"/>
        </w:numPr>
        <w:spacing w:after="80"/>
      </w:pPr>
      <w:r>
        <w:rPr>
          <w:rFonts w:ascii="Calibri" w:cs="Calibri" w:eastAsia="Calibri" w:hAnsi="Calibri"/>
          <w:color w:val="101A2B"/>
          <w:sz w:val="22"/>
          <w:szCs w:val="22"/>
        </w:rPr>
        <w:t xml:space="preserve">Consistent preprocessing at inference time using the same fitted LabelEncoders and StandardScaler used during training.</w:t>
      </w:r>
    </w:p>
    <w:p>
      <w:pPr>
        <w:pStyle w:val="ListParagraph"/>
        <w:numPr>
          <w:ilvl w:val="0"/>
          <w:numId w:val="2"/>
        </w:numPr>
        <w:spacing w:after="80"/>
      </w:pPr>
      <w:r>
        <w:rPr>
          <w:rFonts w:ascii="Calibri" w:cs="Calibri" w:eastAsia="Calibri" w:hAnsi="Calibri"/>
          <w:color w:val="101A2B"/>
          <w:sz w:val="22"/>
          <w:szCs w:val="22"/>
        </w:rPr>
        <w:t xml:space="preserve">Visual confidence gauge (SVG dial with needle and arc) rendered from the model's predicted probability.</w:t>
      </w:r>
    </w:p>
    <w:p>
      <w:pPr>
        <w:pStyle w:val="ListParagraph"/>
        <w:numPr>
          <w:ilvl w:val="0"/>
          <w:numId w:val="2"/>
        </w:numPr>
        <w:spacing w:after="80"/>
      </w:pPr>
      <w:r>
        <w:rPr>
          <w:rFonts w:ascii="Calibri" w:cs="Calibri" w:eastAsia="Calibri" w:hAnsi="Calibri"/>
          <w:color w:val="101A2B"/>
          <w:sz w:val="22"/>
          <w:szCs w:val="22"/>
        </w:rPr>
        <w:t xml:space="preserve">Graceful fallback to scikit-learn's GradientBoostingClassifier if the xgboost package is unavailable.</w:t>
      </w:r>
    </w:p>
    <w:p>
      <w:pPr>
        <w:pStyle w:val="ListParagraph"/>
        <w:numPr>
          <w:ilvl w:val="0"/>
          <w:numId w:val="2"/>
        </w:numPr>
        <w:spacing w:after="80"/>
      </w:pPr>
      <w:r>
        <w:rPr>
          <w:rFonts w:ascii="Calibri" w:cs="Calibri" w:eastAsia="Calibri" w:hAnsi="Calibri"/>
          <w:color w:val="101A2B"/>
          <w:sz w:val="22"/>
          <w:szCs w:val="22"/>
        </w:rPr>
        <w:t xml:space="preserve">Deployment-ready for IBM Cloud Foundry / Code Engine via a Gunicorn Procfile.</w:t>
      </w:r>
    </w:p>
    <w:p>
      <w:pPr>
        <w:pStyle w:val="Heading1"/>
        <w:pBdr>
          <w:bottom w:val="single" w:color="2E7D6B" w:sz="6" w:space="4"/>
        </w:pBdr>
        <w:spacing w:after="200" w:before="400"/>
      </w:pPr>
      <w:r>
        <w:rPr>
          <w:rFonts w:ascii="Calibri" w:cs="Calibri" w:eastAsia="Calibri" w:hAnsi="Calibri"/>
          <w:b/>
          <w:bCs/>
          <w:color w:val="101A2B"/>
          <w:sz w:val="30"/>
          <w:szCs w:val="30"/>
        </w:rPr>
        <w:t xml:space="preserve">3. Architecture</w:t>
      </w:r>
    </w:p>
    <w:p>
      <w:pPr>
        <w:spacing w:after="160" w:line="300"/>
      </w:pPr>
      <w:r>
        <w:rPr>
          <w:rFonts w:ascii="Calibri" w:cs="Calibri" w:eastAsia="Calibri" w:hAnsi="Calibri"/>
          <w:color w:val="101A2B"/>
          <w:sz w:val="22"/>
          <w:szCs w:val="22"/>
        </w:rPr>
        <w:t xml:space="preserve">Smart Lender follows a monolithic server-rendered architecture: a Flask backend that also renders the HTML frontend using Jinja2 templates, backed by a scikit-learn/XGBoost model trained offline from a CSV dataset.</w:t>
      </w:r>
    </w:p>
    <w:p>
      <w:pPr>
        <w:pStyle w:val="Heading2"/>
        <w:spacing w:after="140" w:before="280"/>
      </w:pPr>
      <w:r>
        <w:rPr>
          <w:rFonts w:ascii="Calibri" w:cs="Calibri" w:eastAsia="Calibri" w:hAnsi="Calibri"/>
          <w:b/>
          <w:bCs/>
          <w:color w:val="2E7D6B"/>
          <w:sz w:val="24"/>
          <w:szCs w:val="24"/>
        </w:rPr>
        <w:t xml:space="preserve">System Architecture Diagram</w:t>
      </w:r>
    </w:p>
    <w:p>
      <w:pPr>
        <w:spacing w:after="200" w:before="12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765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1 — Request flow between the browser, Flask application, preprocessing artifacts, and trained model.</w:t>
      </w:r>
    </w:p>
    <w:p>
      <w:pPr>
        <w:pStyle w:val="Heading2"/>
        <w:spacing w:after="140" w:before="280"/>
      </w:pPr>
      <w:r>
        <w:rPr>
          <w:rFonts w:ascii="Calibri" w:cs="Calibri" w:eastAsia="Calibri" w:hAnsi="Calibri"/>
          <w:b/>
          <w:bCs/>
          <w:color w:val="2E7D6B"/>
          <w:sz w:val="24"/>
          <w:szCs w:val="24"/>
        </w:rPr>
        <w:t xml:space="preserve">Frontend</w:t>
      </w:r>
    </w:p>
    <w:p>
      <w:pPr>
        <w:spacing w:after="160" w:line="300"/>
      </w:pPr>
      <w:r>
        <w:rPr>
          <w:rFonts w:ascii="Calibri" w:cs="Calibri" w:eastAsia="Calibri" w:hAnsi="Calibri"/>
          <w:color w:val="101A2B"/>
          <w:sz w:val="22"/>
          <w:szCs w:val="22"/>
        </w:rPr>
        <w:t xml:space="preserve">The frontend is server-rendered with Jinja2 templates (no separate JavaScript framework):</w:t>
      </w:r>
    </w:p>
    <w:p>
      <w:pPr>
        <w:pStyle w:val="ListParagraph"/>
        <w:numPr>
          <w:ilvl w:val="0"/>
          <w:numId w:val="2"/>
        </w:numPr>
        <w:spacing w:after="80"/>
      </w:pPr>
      <w:r>
        <w:rPr>
          <w:rFonts w:ascii="Calibri" w:cs="Calibri" w:eastAsia="Calibri" w:hAnsi="Calibri"/>
          <w:color w:val="101A2B"/>
          <w:sz w:val="22"/>
          <w:szCs w:val="22"/>
        </w:rPr>
        <w:t xml:space="preserve">templates/index.html — the applicant intake form, organized into "Applicant Profile" and "Income &amp; Loan Terms" sections.</w:t>
      </w:r>
    </w:p>
    <w:p>
      <w:pPr>
        <w:pStyle w:val="ListParagraph"/>
        <w:numPr>
          <w:ilvl w:val="0"/>
          <w:numId w:val="2"/>
        </w:numPr>
        <w:spacing w:after="80"/>
      </w:pPr>
      <w:r>
        <w:rPr>
          <w:rFonts w:ascii="Calibri" w:cs="Calibri" w:eastAsia="Calibri" w:hAnsi="Calibri"/>
          <w:color w:val="101A2B"/>
          <w:sz w:val="22"/>
          <w:szCs w:val="22"/>
        </w:rPr>
        <w:t xml:space="preserve">templates/result.html — renders the prediction verdict, an inline SVG confidence gauge, and a recap table of the submitted application.</w:t>
      </w:r>
    </w:p>
    <w:p>
      <w:pPr>
        <w:pStyle w:val="ListParagraph"/>
        <w:numPr>
          <w:ilvl w:val="0"/>
          <w:numId w:val="2"/>
        </w:numPr>
        <w:spacing w:after="80"/>
      </w:pPr>
      <w:r>
        <w:rPr>
          <w:rFonts w:ascii="Calibri" w:cs="Calibri" w:eastAsia="Calibri" w:hAnsi="Calibri"/>
          <w:color w:val="101A2B"/>
          <w:sz w:val="22"/>
          <w:szCs w:val="22"/>
        </w:rPr>
        <w:t xml:space="preserve">static/css/style.css — a custom "ledger / underwriting console" visual theme (ink navy, ledger paper, underwriter gold, approve teal, decline rust) using IBM Plex Serif, Sans, and Mono.</w:t>
      </w:r>
    </w:p>
    <w:p>
      <w:pPr>
        <w:pStyle w:val="Heading2"/>
        <w:spacing w:after="140" w:before="280"/>
      </w:pPr>
      <w:r>
        <w:rPr>
          <w:rFonts w:ascii="Calibri" w:cs="Calibri" w:eastAsia="Calibri" w:hAnsi="Calibri"/>
          <w:b/>
          <w:bCs/>
          <w:color w:val="2E7D6B"/>
          <w:sz w:val="24"/>
          <w:szCs w:val="24"/>
        </w:rPr>
        <w:t xml:space="preserve">Backend</w:t>
      </w:r>
    </w:p>
    <w:p>
      <w:pPr>
        <w:spacing w:after="160" w:line="300"/>
      </w:pPr>
      <w:r>
        <w:rPr>
          <w:rFonts w:ascii="Calibri" w:cs="Calibri" w:eastAsia="Calibri" w:hAnsi="Calibri"/>
          <w:color w:val="101A2B"/>
          <w:sz w:val="22"/>
          <w:szCs w:val="22"/>
        </w:rPr>
        <w:t xml:space="preserve">The backend is a single Flask application (app.py) exposing two routes:</w:t>
      </w:r>
    </w:p>
    <w:p>
      <w:pPr>
        <w:pStyle w:val="ListParagraph"/>
        <w:numPr>
          <w:ilvl w:val="0"/>
          <w:numId w:val="2"/>
        </w:numPr>
        <w:spacing w:after="80"/>
      </w:pPr>
      <w:r>
        <w:rPr>
          <w:rFonts w:ascii="Calibri" w:cs="Calibri" w:eastAsia="Calibri" w:hAnsi="Calibri"/>
          <w:color w:val="101A2B"/>
          <w:sz w:val="22"/>
          <w:szCs w:val="22"/>
        </w:rPr>
        <w:t xml:space="preserve">GET / — renders the intake form.</w:t>
      </w:r>
    </w:p>
    <w:p>
      <w:pPr>
        <w:pStyle w:val="ListParagraph"/>
        <w:numPr>
          <w:ilvl w:val="0"/>
          <w:numId w:val="2"/>
        </w:numPr>
        <w:spacing w:after="80"/>
      </w:pPr>
      <w:r>
        <w:rPr>
          <w:rFonts w:ascii="Calibri" w:cs="Calibri" w:eastAsia="Calibri" w:hAnsi="Calibri"/>
          <w:color w:val="101A2B"/>
          <w:sz w:val="22"/>
          <w:szCs w:val="22"/>
        </w:rPr>
        <w:t xml:space="preserve">POST /predict — reads form data, applies the saved encoders/scaler, runs the persisted model, and renders the result page.</w:t>
      </w:r>
    </w:p>
    <w:p>
      <w:pPr>
        <w:spacing w:after="160" w:line="300"/>
      </w:pPr>
      <w:r>
        <w:rPr>
          <w:rFonts w:ascii="Calibri" w:cs="Calibri" w:eastAsia="Calibri" w:hAnsi="Calibri"/>
          <w:color w:val="101A2B"/>
          <w:sz w:val="22"/>
          <w:szCs w:val="22"/>
        </w:rPr>
        <w:t xml:space="preserve">Model artifacts (model.pkl, encoders.pkl, scaler.pkl, feature_cols.pkl) are loaded once at import time via load_artifacts(), so the process must have access to a trained model/ directory before it starts.</w:t>
      </w:r>
    </w:p>
    <w:p>
      <w:pPr>
        <w:pStyle w:val="Heading2"/>
        <w:spacing w:after="140" w:before="280"/>
      </w:pPr>
      <w:r>
        <w:rPr>
          <w:rFonts w:ascii="Calibri" w:cs="Calibri" w:eastAsia="Calibri" w:hAnsi="Calibri"/>
          <w:b/>
          <w:bCs/>
          <w:color w:val="2E7D6B"/>
          <w:sz w:val="24"/>
          <w:szCs w:val="24"/>
        </w:rPr>
        <w:t xml:space="preserve">Database / Data Layer</w:t>
      </w:r>
    </w:p>
    <w:p>
      <w:pPr>
        <w:spacing w:after="160" w:line="300"/>
      </w:pPr>
      <w:r>
        <w:rPr>
          <w:rFonts w:ascii="Calibri" w:cs="Calibri" w:eastAsia="Calibri" w:hAnsi="Calibri"/>
          <w:color w:val="101A2B"/>
          <w:sz w:val="22"/>
          <w:szCs w:val="22"/>
        </w:rPr>
        <w:t xml:space="preserve">Smart Lender does not use a relational or document database. Instead, it uses:</w:t>
      </w:r>
    </w:p>
    <w:p>
      <w:pPr>
        <w:pStyle w:val="ListParagraph"/>
        <w:numPr>
          <w:ilvl w:val="0"/>
          <w:numId w:val="2"/>
        </w:numPr>
        <w:spacing w:after="80"/>
      </w:pPr>
      <w:r>
        <w:rPr>
          <w:rFonts w:ascii="Calibri" w:cs="Calibri" w:eastAsia="Calibri" w:hAnsi="Calibri"/>
          <w:color w:val="101A2B"/>
          <w:sz w:val="22"/>
          <w:szCs w:val="22"/>
        </w:rPr>
        <w:t xml:space="preserve">data/loan_data.csv — the applicant dataset (614 rows) used to train the model, with schema: Loan_ID, Gender, Married, Dependents, Education, Self_Employed, ApplicantIncome, CoapplicantIncome, LoanAmount, Loan_Amount_Term, Credit_History, Property_Area, Loan_Status.</w:t>
      </w:r>
    </w:p>
    <w:p>
      <w:pPr>
        <w:pStyle w:val="ListParagraph"/>
        <w:numPr>
          <w:ilvl w:val="0"/>
          <w:numId w:val="2"/>
        </w:numPr>
        <w:spacing w:after="80"/>
      </w:pPr>
      <w:r>
        <w:rPr>
          <w:rFonts w:ascii="Calibri" w:cs="Calibri" w:eastAsia="Calibri" w:hAnsi="Calibri"/>
          <w:color w:val="101A2B"/>
          <w:sz w:val="22"/>
          <w:szCs w:val="22"/>
        </w:rPr>
        <w:t xml:space="preserve">model/*.pkl and model_comparison.json — serialized preprocessing objects, the trained classifier, and its accuracy metrics, produced by train_model.py and consumed by app.py.</w:t>
      </w:r>
    </w:p>
    <w:p>
      <w:pPr>
        <w:spacing w:after="160" w:line="300"/>
      </w:pPr>
      <w:r>
        <w:rPr>
          <w:rFonts w:ascii="Calibri" w:cs="Calibri" w:eastAsia="Calibri" w:hAnsi="Calibri"/>
          <w:color w:val="101A2B"/>
          <w:sz w:val="22"/>
          <w:szCs w:val="22"/>
        </w:rPr>
        <w:t xml:space="preserve">Because there is no live database, every prediction is stateless: nothing is persisted between requests unless the application is extended to add one (see Future Enhancements).</w:t>
      </w:r>
    </w:p>
    <w:p>
      <w:pPr>
        <w:pStyle w:val="Heading1"/>
        <w:pBdr>
          <w:bottom w:val="single" w:color="2E7D6B" w:sz="6" w:space="4"/>
        </w:pBdr>
        <w:spacing w:after="200" w:before="400"/>
      </w:pPr>
      <w:r>
        <w:rPr>
          <w:rFonts w:ascii="Calibri" w:cs="Calibri" w:eastAsia="Calibri" w:hAnsi="Calibri"/>
          <w:b/>
          <w:bCs/>
          <w:color w:val="101A2B"/>
          <w:sz w:val="30"/>
          <w:szCs w:val="30"/>
        </w:rPr>
        <w:t xml:space="preserve">4. Setup Instructions</w:t>
      </w:r>
    </w:p>
    <w:p>
      <w:pPr>
        <w:pStyle w:val="Heading2"/>
        <w:spacing w:after="140" w:before="280"/>
      </w:pPr>
      <w:r>
        <w:rPr>
          <w:rFonts w:ascii="Calibri" w:cs="Calibri" w:eastAsia="Calibri" w:hAnsi="Calibri"/>
          <w:b/>
          <w:bCs/>
          <w:color w:val="2E7D6B"/>
          <w:sz w:val="24"/>
          <w:szCs w:val="24"/>
        </w:rPr>
        <w:t xml:space="preserve">Prerequisites</w:t>
      </w:r>
    </w:p>
    <w:p>
      <w:pPr>
        <w:pStyle w:val="ListParagraph"/>
        <w:numPr>
          <w:ilvl w:val="0"/>
          <w:numId w:val="2"/>
        </w:numPr>
        <w:spacing w:after="80"/>
      </w:pPr>
      <w:r>
        <w:rPr>
          <w:rFonts w:ascii="Calibri" w:cs="Calibri" w:eastAsia="Calibri" w:hAnsi="Calibri"/>
          <w:color w:val="101A2B"/>
          <w:sz w:val="22"/>
          <w:szCs w:val="22"/>
        </w:rPr>
        <w:t xml:space="preserve">Python 3.10+ </w:t>
      </w:r>
    </w:p>
    <w:p>
      <w:pPr>
        <w:pStyle w:val="ListParagraph"/>
        <w:numPr>
          <w:ilvl w:val="0"/>
          <w:numId w:val="2"/>
        </w:numPr>
        <w:spacing w:after="80"/>
      </w:pPr>
      <w:r>
        <w:rPr>
          <w:rFonts w:ascii="Calibri" w:cs="Calibri" w:eastAsia="Calibri" w:hAnsi="Calibri"/>
          <w:color w:val="101A2B"/>
          <w:sz w:val="22"/>
          <w:szCs w:val="22"/>
        </w:rPr>
        <w:t xml:space="preserve">pip (Python package manager)</w:t>
      </w:r>
    </w:p>
    <w:p>
      <w:pPr>
        <w:pStyle w:val="ListParagraph"/>
        <w:numPr>
          <w:ilvl w:val="0"/>
          <w:numId w:val="2"/>
        </w:numPr>
        <w:spacing w:after="80"/>
      </w:pPr>
      <w:r>
        <w:rPr>
          <w:rFonts w:ascii="Calibri" w:cs="Calibri" w:eastAsia="Calibri" w:hAnsi="Calibri"/>
          <w:color w:val="101A2B"/>
          <w:sz w:val="22"/>
          <w:szCs w:val="22"/>
        </w:rPr>
        <w:t xml:space="preserve">A virtual environment tool (venv, recommended)</w:t>
      </w:r>
    </w:p>
    <w:p>
      <w:pPr>
        <w:pStyle w:val="ListParagraph"/>
        <w:numPr>
          <w:ilvl w:val="0"/>
          <w:numId w:val="2"/>
        </w:numPr>
        <w:spacing w:after="80"/>
      </w:pPr>
      <w:r>
        <w:rPr>
          <w:rFonts w:ascii="Calibri" w:cs="Calibri" w:eastAsia="Calibri" w:hAnsi="Calibri"/>
          <w:color w:val="101A2B"/>
          <w:sz w:val="22"/>
          <w:szCs w:val="22"/>
        </w:rPr>
        <w:t xml:space="preserve">No external database is required</w:t>
      </w:r>
    </w:p>
    <w:p>
      <w:pPr>
        <w:pStyle w:val="Heading2"/>
        <w:spacing w:after="140" w:before="280"/>
      </w:pPr>
      <w:r>
        <w:rPr>
          <w:rFonts w:ascii="Calibri" w:cs="Calibri" w:eastAsia="Calibri" w:hAnsi="Calibri"/>
          <w:b/>
          <w:bCs/>
          <w:color w:val="2E7D6B"/>
          <w:sz w:val="24"/>
          <w:szCs w:val="24"/>
        </w:rPr>
        <w:t xml:space="preserve">Installation</w:t>
      </w:r>
    </w:p>
    <w:p>
      <w:pPr>
        <w:pStyle w:val="ListParagraph"/>
        <w:numPr>
          <w:ilvl w:val="0"/>
          <w:numId w:val="3"/>
        </w:numPr>
        <w:spacing w:after="80"/>
      </w:pPr>
      <w:r>
        <w:rPr>
          <w:rFonts w:ascii="Calibri" w:cs="Calibri" w:eastAsia="Calibri" w:hAnsi="Calibri"/>
          <w:color w:val="101A2B"/>
          <w:sz w:val="22"/>
          <w:szCs w:val="22"/>
        </w:rPr>
        <w:t xml:space="preserve">Clone or unzip the project:</w:t>
      </w:r>
    </w:p>
    <w:tbl>
      <w:tblPr>
        <w:tblW w:type="pct" w:w="100%"/>
        <w:tblBorders>
          <w:top w:val="single" w:color="DDD6C4" w:sz="4"/>
          <w:left w:val="single" w:color="DDD6C4" w:sz="4"/>
          <w:bottom w:val="single" w:color="DDD6C4" w:sz="4"/>
          <w:right w:val="single" w:color="DDD6C4" w:sz="4"/>
          <w:insideH w:val="none"/>
          <w:insideV w:val="none"/>
        </w:tblBorders>
      </w:tblPr>
      <w:tblGrid>
        <w:gridCol w:w="100"/>
      </w:tblGrid>
      <w:tr>
        <w:tc>
          <w:tcPr>
            <w:shd w:fill="F4F0E6" w:val="clear"/>
            <w:tcMar>
              <w:top w:type="dxa" w:w="160"/>
              <w:left w:type="dxa" w:w="200"/>
              <w:bottom w:type="dxa" w:w="160"/>
              <w:right w:type="dxa" w:w="200"/>
            </w:tcMar>
          </w:tcPr>
          <w:p>
            <w:pPr>
              <w:spacing w:after="40"/>
            </w:pPr>
            <w:r>
              <w:rPr>
                <w:rFonts w:ascii="Consolas" w:cs="Consolas" w:eastAsia="Consolas" w:hAnsi="Consolas"/>
                <w:color w:val="101A2B"/>
                <w:sz w:val="19"/>
                <w:szCs w:val="19"/>
              </w:rPr>
              <w:t xml:space="preserve">cd SmartLender</w:t>
            </w:r>
          </w:p>
        </w:tc>
      </w:tr>
    </w:tbl>
    <w:p>
      <w:pPr>
        <w:pStyle w:val="ListParagraph"/>
        <w:numPr>
          <w:ilvl w:val="0"/>
          <w:numId w:val="3"/>
        </w:numPr>
        <w:spacing w:after="80"/>
      </w:pPr>
      <w:r>
        <w:rPr>
          <w:rFonts w:ascii="Calibri" w:cs="Calibri" w:eastAsia="Calibri" w:hAnsi="Calibri"/>
          <w:color w:val="101A2B"/>
          <w:sz w:val="22"/>
          <w:szCs w:val="22"/>
        </w:rPr>
        <w:t xml:space="preserve">Create and activate a virtual environment:</w:t>
      </w:r>
    </w:p>
    <w:tbl>
      <w:tblPr>
        <w:tblW w:type="pct" w:w="100%"/>
        <w:tblBorders>
          <w:top w:val="single" w:color="DDD6C4" w:sz="4"/>
          <w:left w:val="single" w:color="DDD6C4" w:sz="4"/>
          <w:bottom w:val="single" w:color="DDD6C4" w:sz="4"/>
          <w:right w:val="single" w:color="DDD6C4" w:sz="4"/>
          <w:insideH w:val="none"/>
          <w:insideV w:val="none"/>
        </w:tblBorders>
      </w:tblPr>
      <w:tblGrid>
        <w:gridCol w:w="100"/>
      </w:tblGrid>
      <w:tr>
        <w:tc>
          <w:tcPr>
            <w:shd w:fill="F4F0E6" w:val="clear"/>
            <w:tcMar>
              <w:top w:type="dxa" w:w="160"/>
              <w:left w:type="dxa" w:w="200"/>
              <w:bottom w:type="dxa" w:w="160"/>
              <w:right w:type="dxa" w:w="200"/>
            </w:tcMar>
          </w:tcPr>
          <w:p>
            <w:pPr>
              <w:spacing w:after="40"/>
            </w:pPr>
            <w:r>
              <w:rPr>
                <w:rFonts w:ascii="Consolas" w:cs="Consolas" w:eastAsia="Consolas" w:hAnsi="Consolas"/>
                <w:color w:val="101A2B"/>
                <w:sz w:val="19"/>
                <w:szCs w:val="19"/>
              </w:rPr>
              <w:t xml:space="preserve">python -m venv venv</w:t>
            </w:r>
          </w:p>
          <w:p>
            <w:pPr>
              <w:spacing w:after="40"/>
            </w:pPr>
            <w:r>
              <w:rPr>
                <w:rFonts w:ascii="Consolas" w:cs="Consolas" w:eastAsia="Consolas" w:hAnsi="Consolas"/>
                <w:color w:val="101A2B"/>
                <w:sz w:val="19"/>
                <w:szCs w:val="19"/>
              </w:rPr>
              <w:t xml:space="preserve">source venv/bin/activate      # Windows: venv\Scripts\activate</w:t>
            </w:r>
          </w:p>
        </w:tc>
      </w:tr>
    </w:tbl>
    <w:p>
      <w:pPr>
        <w:pStyle w:val="ListParagraph"/>
        <w:numPr>
          <w:ilvl w:val="0"/>
          <w:numId w:val="3"/>
        </w:numPr>
        <w:spacing w:after="80"/>
      </w:pPr>
      <w:r>
        <w:rPr>
          <w:rFonts w:ascii="Calibri" w:cs="Calibri" w:eastAsia="Calibri" w:hAnsi="Calibri"/>
          <w:color w:val="101A2B"/>
          <w:sz w:val="22"/>
          <w:szCs w:val="22"/>
        </w:rPr>
        <w:t xml:space="preserve">Install dependencies:</w:t>
      </w:r>
    </w:p>
    <w:tbl>
      <w:tblPr>
        <w:tblW w:type="pct" w:w="100%"/>
        <w:tblBorders>
          <w:top w:val="single" w:color="DDD6C4" w:sz="4"/>
          <w:left w:val="single" w:color="DDD6C4" w:sz="4"/>
          <w:bottom w:val="single" w:color="DDD6C4" w:sz="4"/>
          <w:right w:val="single" w:color="DDD6C4" w:sz="4"/>
          <w:insideH w:val="none"/>
          <w:insideV w:val="none"/>
        </w:tblBorders>
      </w:tblPr>
      <w:tblGrid>
        <w:gridCol w:w="100"/>
      </w:tblGrid>
      <w:tr>
        <w:tc>
          <w:tcPr>
            <w:shd w:fill="F4F0E6" w:val="clear"/>
            <w:tcMar>
              <w:top w:type="dxa" w:w="160"/>
              <w:left w:type="dxa" w:w="200"/>
              <w:bottom w:type="dxa" w:w="160"/>
              <w:right w:type="dxa" w:w="200"/>
            </w:tcMar>
          </w:tcPr>
          <w:p>
            <w:pPr>
              <w:spacing w:after="40"/>
            </w:pPr>
            <w:r>
              <w:rPr>
                <w:rFonts w:ascii="Consolas" w:cs="Consolas" w:eastAsia="Consolas" w:hAnsi="Consolas"/>
                <w:color w:val="101A2B"/>
                <w:sz w:val="19"/>
                <w:szCs w:val="19"/>
              </w:rPr>
              <w:t xml:space="preserve">pip install -r requirements.txt</w:t>
            </w:r>
          </w:p>
        </w:tc>
      </w:tr>
    </w:tbl>
    <w:p>
      <w:pPr>
        <w:pStyle w:val="ListParagraph"/>
        <w:numPr>
          <w:ilvl w:val="0"/>
          <w:numId w:val="3"/>
        </w:numPr>
        <w:spacing w:after="80"/>
      </w:pPr>
      <w:r>
        <w:rPr>
          <w:rFonts w:ascii="Calibri" w:cs="Calibri" w:eastAsia="Calibri" w:hAnsi="Calibri"/>
          <w:color w:val="101A2B"/>
          <w:sz w:val="22"/>
          <w:szCs w:val="22"/>
        </w:rPr>
        <w:t xml:space="preserve">Generate the dataset (skip this step if supplying a real data/loan_data.csv with the same columns):</w:t>
      </w:r>
    </w:p>
    <w:tbl>
      <w:tblPr>
        <w:tblW w:type="pct" w:w="100%"/>
        <w:tblBorders>
          <w:top w:val="single" w:color="DDD6C4" w:sz="4"/>
          <w:left w:val="single" w:color="DDD6C4" w:sz="4"/>
          <w:bottom w:val="single" w:color="DDD6C4" w:sz="4"/>
          <w:right w:val="single" w:color="DDD6C4" w:sz="4"/>
          <w:insideH w:val="none"/>
          <w:insideV w:val="none"/>
        </w:tblBorders>
      </w:tblPr>
      <w:tblGrid>
        <w:gridCol w:w="100"/>
      </w:tblGrid>
      <w:tr>
        <w:tc>
          <w:tcPr>
            <w:shd w:fill="F4F0E6" w:val="clear"/>
            <w:tcMar>
              <w:top w:type="dxa" w:w="160"/>
              <w:left w:type="dxa" w:w="200"/>
              <w:bottom w:type="dxa" w:w="160"/>
              <w:right w:type="dxa" w:w="200"/>
            </w:tcMar>
          </w:tcPr>
          <w:p>
            <w:pPr>
              <w:spacing w:after="40"/>
            </w:pPr>
            <w:r>
              <w:rPr>
                <w:rFonts w:ascii="Consolas" w:cs="Consolas" w:eastAsia="Consolas" w:hAnsi="Consolas"/>
                <w:color w:val="101A2B"/>
                <w:sz w:val="19"/>
                <w:szCs w:val="19"/>
              </w:rPr>
              <w:t xml:space="preserve">python data/generate_data.py</w:t>
            </w:r>
          </w:p>
        </w:tc>
      </w:tr>
    </w:tbl>
    <w:p>
      <w:pPr>
        <w:pStyle w:val="ListParagraph"/>
        <w:numPr>
          <w:ilvl w:val="0"/>
          <w:numId w:val="3"/>
        </w:numPr>
        <w:spacing w:after="80"/>
      </w:pPr>
      <w:r>
        <w:rPr>
          <w:rFonts w:ascii="Calibri" w:cs="Calibri" w:eastAsia="Calibri" w:hAnsi="Calibri"/>
          <w:color w:val="101A2B"/>
          <w:sz w:val="22"/>
          <w:szCs w:val="22"/>
        </w:rPr>
        <w:t xml:space="preserve">Train the models and persist the best one:</w:t>
      </w:r>
    </w:p>
    <w:tbl>
      <w:tblPr>
        <w:tblW w:type="pct" w:w="100%"/>
        <w:tblBorders>
          <w:top w:val="single" w:color="DDD6C4" w:sz="4"/>
          <w:left w:val="single" w:color="DDD6C4" w:sz="4"/>
          <w:bottom w:val="single" w:color="DDD6C4" w:sz="4"/>
          <w:right w:val="single" w:color="DDD6C4" w:sz="4"/>
          <w:insideH w:val="none"/>
          <w:insideV w:val="none"/>
        </w:tblBorders>
      </w:tblPr>
      <w:tblGrid>
        <w:gridCol w:w="100"/>
      </w:tblGrid>
      <w:tr>
        <w:tc>
          <w:tcPr>
            <w:shd w:fill="F4F0E6" w:val="clear"/>
            <w:tcMar>
              <w:top w:type="dxa" w:w="160"/>
              <w:left w:type="dxa" w:w="200"/>
              <w:bottom w:type="dxa" w:w="160"/>
              <w:right w:type="dxa" w:w="200"/>
            </w:tcMar>
          </w:tcPr>
          <w:p>
            <w:pPr>
              <w:spacing w:after="40"/>
            </w:pPr>
            <w:r>
              <w:rPr>
                <w:rFonts w:ascii="Consolas" w:cs="Consolas" w:eastAsia="Consolas" w:hAnsi="Consolas"/>
                <w:color w:val="101A2B"/>
                <w:sz w:val="19"/>
                <w:szCs w:val="19"/>
              </w:rPr>
              <w:t xml:space="preserve">python train_model.py</w:t>
            </w:r>
          </w:p>
        </w:tc>
      </w:tr>
    </w:tbl>
    <w:p>
      <w:pPr>
        <w:pStyle w:val="ListParagraph"/>
        <w:numPr>
          <w:ilvl w:val="0"/>
          <w:numId w:val="3"/>
        </w:numPr>
        <w:spacing w:after="80"/>
      </w:pPr>
      <w:r>
        <w:rPr>
          <w:rFonts w:ascii="Calibri" w:cs="Calibri" w:eastAsia="Calibri" w:hAnsi="Calibri"/>
          <w:color w:val="101A2B"/>
          <w:sz w:val="22"/>
          <w:szCs w:val="22"/>
        </w:rPr>
        <w:t xml:space="preserve">Run the web app (see Section 6):</w:t>
      </w:r>
    </w:p>
    <w:tbl>
      <w:tblPr>
        <w:tblW w:type="pct" w:w="100%"/>
        <w:tblBorders>
          <w:top w:val="single" w:color="DDD6C4" w:sz="4"/>
          <w:left w:val="single" w:color="DDD6C4" w:sz="4"/>
          <w:bottom w:val="single" w:color="DDD6C4" w:sz="4"/>
          <w:right w:val="single" w:color="DDD6C4" w:sz="4"/>
          <w:insideH w:val="none"/>
          <w:insideV w:val="none"/>
        </w:tblBorders>
      </w:tblPr>
      <w:tblGrid>
        <w:gridCol w:w="100"/>
      </w:tblGrid>
      <w:tr>
        <w:tc>
          <w:tcPr>
            <w:shd w:fill="F4F0E6" w:val="clear"/>
            <w:tcMar>
              <w:top w:type="dxa" w:w="160"/>
              <w:left w:type="dxa" w:w="200"/>
              <w:bottom w:type="dxa" w:w="160"/>
              <w:right w:type="dxa" w:w="200"/>
            </w:tcMar>
          </w:tcPr>
          <w:p>
            <w:pPr>
              <w:spacing w:after="40"/>
            </w:pPr>
            <w:r>
              <w:rPr>
                <w:rFonts w:ascii="Consolas" w:cs="Consolas" w:eastAsia="Consolas" w:hAnsi="Consolas"/>
                <w:color w:val="101A2B"/>
                <w:sz w:val="19"/>
                <w:szCs w:val="19"/>
              </w:rPr>
              <w:t xml:space="preserve">python app.py</w:t>
            </w:r>
          </w:p>
        </w:tc>
      </w:tr>
    </w:tbl>
    <w:p>
      <w:pPr>
        <w:spacing w:after="160" w:line="300"/>
      </w:pPr>
      <w:r>
        <w:rPr>
          <w:rFonts w:ascii="Calibri" w:cs="Calibri" w:eastAsia="Calibri" w:hAnsi="Calibri"/>
          <w:color w:val="101A2B"/>
          <w:sz w:val="22"/>
          <w:szCs w:val="22"/>
        </w:rPr>
        <w:t xml:space="preserve">No environment variables are required for local development; the app reads model artifacts from the model/ folder relative to app.py.</w:t>
      </w:r>
    </w:p>
    <w:p>
      <w:pPr>
        <w:pStyle w:val="Heading1"/>
        <w:pBdr>
          <w:bottom w:val="single" w:color="2E7D6B" w:sz="6" w:space="4"/>
        </w:pBdr>
        <w:spacing w:after="200" w:before="400"/>
      </w:pPr>
      <w:r>
        <w:rPr>
          <w:rFonts w:ascii="Calibri" w:cs="Calibri" w:eastAsia="Calibri" w:hAnsi="Calibri"/>
          <w:b/>
          <w:bCs/>
          <w:color w:val="101A2B"/>
          <w:sz w:val="30"/>
          <w:szCs w:val="30"/>
        </w:rPr>
        <w:t xml:space="preserve">5. Folder Structure</w:t>
      </w:r>
    </w:p>
    <w:p>
      <w:pPr>
        <w:pStyle w:val="Heading2"/>
        <w:spacing w:after="140" w:before="280"/>
      </w:pPr>
      <w:r>
        <w:rPr>
          <w:rFonts w:ascii="Calibri" w:cs="Calibri" w:eastAsia="Calibri" w:hAnsi="Calibri"/>
          <w:b/>
          <w:bCs/>
          <w:color w:val="2E7D6B"/>
          <w:sz w:val="24"/>
          <w:szCs w:val="24"/>
        </w:rPr>
        <w:t xml:space="preserve">Repository Layout</w:t>
      </w:r>
    </w:p>
    <w:tbl>
      <w:tblPr>
        <w:tblW w:type="pct" w:w="100%"/>
        <w:tblBorders>
          <w:top w:val="single" w:color="DDD6C4" w:sz="4"/>
          <w:left w:val="single" w:color="DDD6C4" w:sz="4"/>
          <w:bottom w:val="single" w:color="DDD6C4" w:sz="4"/>
          <w:right w:val="single" w:color="DDD6C4" w:sz="4"/>
          <w:insideH w:val="none"/>
          <w:insideV w:val="none"/>
        </w:tblBorders>
      </w:tblPr>
      <w:tblGrid>
        <w:gridCol w:w="100"/>
      </w:tblGrid>
      <w:tr>
        <w:tc>
          <w:tcPr>
            <w:shd w:fill="F4F0E6" w:val="clear"/>
            <w:tcMar>
              <w:top w:type="dxa" w:w="160"/>
              <w:left w:type="dxa" w:w="200"/>
              <w:bottom w:type="dxa" w:w="160"/>
              <w:right w:type="dxa" w:w="200"/>
            </w:tcMar>
          </w:tcPr>
          <w:p>
            <w:pPr>
              <w:spacing w:after="40"/>
            </w:pPr>
            <w:r>
              <w:rPr>
                <w:rFonts w:ascii="Consolas" w:cs="Consolas" w:eastAsia="Consolas" w:hAnsi="Consolas"/>
                <w:color w:val="101A2B"/>
                <w:sz w:val="19"/>
                <w:szCs w:val="19"/>
              </w:rPr>
              <w:t xml:space="preserve">SmartLender/</w:t>
            </w:r>
          </w:p>
          <w:p>
            <w:pPr>
              <w:spacing w:after="40"/>
            </w:pPr>
            <w:r>
              <w:rPr>
                <w:rFonts w:ascii="Consolas" w:cs="Consolas" w:eastAsia="Consolas" w:hAnsi="Consolas"/>
                <w:color w:val="101A2B"/>
                <w:sz w:val="19"/>
                <w:szCs w:val="19"/>
              </w:rPr>
              <w:t xml:space="preserve">├── app.py                    # Flask web application (routes: / and /predict)</w:t>
            </w:r>
          </w:p>
          <w:p>
            <w:pPr>
              <w:spacing w:after="40"/>
            </w:pPr>
            <w:r>
              <w:rPr>
                <w:rFonts w:ascii="Consolas" w:cs="Consolas" w:eastAsia="Consolas" w:hAnsi="Consolas"/>
                <w:color w:val="101A2B"/>
                <w:sz w:val="19"/>
                <w:szCs w:val="19"/>
              </w:rPr>
              <w:t xml:space="preserve">├── train_model.py            # Preprocessing + training + model-selection pipeline</w:t>
            </w:r>
          </w:p>
          <w:p>
            <w:pPr>
              <w:spacing w:after="40"/>
            </w:pPr>
            <w:r>
              <w:rPr>
                <w:rFonts w:ascii="Consolas" w:cs="Consolas" w:eastAsia="Consolas" w:hAnsi="Consolas"/>
                <w:color w:val="101A2B"/>
                <w:sz w:val="19"/>
                <w:szCs w:val="19"/>
              </w:rPr>
              <w:t xml:space="preserve">├── requirements.txt          # Python dependencies</w:t>
            </w:r>
          </w:p>
          <w:p>
            <w:pPr>
              <w:spacing w:after="40"/>
            </w:pPr>
            <w:r>
              <w:rPr>
                <w:rFonts w:ascii="Consolas" w:cs="Consolas" w:eastAsia="Consolas" w:hAnsi="Consolas"/>
                <w:color w:val="101A2B"/>
                <w:sz w:val="19"/>
                <w:szCs w:val="19"/>
              </w:rPr>
              <w:t xml:space="preserve">├── Procfile                  # gunicorn start command for IBM Cloud deployment</w:t>
            </w:r>
          </w:p>
          <w:p>
            <w:pPr>
              <w:spacing w:after="40"/>
            </w:pPr>
            <w:r>
              <w:rPr>
                <w:rFonts w:ascii="Consolas" w:cs="Consolas" w:eastAsia="Consolas" w:hAnsi="Consolas"/>
                <w:color w:val="101A2B"/>
                <w:sz w:val="19"/>
                <w:szCs w:val="19"/>
              </w:rPr>
              <w:t xml:space="preserve">├── data/</w:t>
            </w:r>
          </w:p>
          <w:p>
            <w:pPr>
              <w:spacing w:after="40"/>
            </w:pPr>
            <w:r>
              <w:rPr>
                <w:rFonts w:ascii="Consolas" w:cs="Consolas" w:eastAsia="Consolas" w:hAnsi="Consolas"/>
                <w:color w:val="101A2B"/>
                <w:sz w:val="19"/>
                <w:szCs w:val="19"/>
              </w:rPr>
              <w:t xml:space="preserve">│   ├── generate_data.py      # Generates the synthetic applicant dataset</w:t>
            </w:r>
          </w:p>
          <w:p>
            <w:pPr>
              <w:spacing w:after="40"/>
            </w:pPr>
            <w:r>
              <w:rPr>
                <w:rFonts w:ascii="Consolas" w:cs="Consolas" w:eastAsia="Consolas" w:hAnsi="Consolas"/>
                <w:color w:val="101A2B"/>
                <w:sz w:val="19"/>
                <w:szCs w:val="19"/>
              </w:rPr>
              <w:t xml:space="preserve">│   └── loan_data.csv         # Applicant training data</w:t>
            </w:r>
          </w:p>
          <w:p>
            <w:pPr>
              <w:spacing w:after="40"/>
            </w:pPr>
            <w:r>
              <w:rPr>
                <w:rFonts w:ascii="Consolas" w:cs="Consolas" w:eastAsia="Consolas" w:hAnsi="Consolas"/>
                <w:color w:val="101A2B"/>
                <w:sz w:val="19"/>
                <w:szCs w:val="19"/>
              </w:rPr>
              <w:t xml:space="preserve">├── model/                    # Created / overwritten by train_model.py</w:t>
            </w:r>
          </w:p>
          <w:p>
            <w:pPr>
              <w:spacing w:after="40"/>
            </w:pPr>
            <w:r>
              <w:rPr>
                <w:rFonts w:ascii="Consolas" w:cs="Consolas" w:eastAsia="Consolas" w:hAnsi="Consolas"/>
                <w:color w:val="101A2B"/>
                <w:sz w:val="19"/>
                <w:szCs w:val="19"/>
              </w:rPr>
              <w:t xml:space="preserve">│   ├── model.pkl             # Best-performing trained classifier</w:t>
            </w:r>
          </w:p>
          <w:p>
            <w:pPr>
              <w:spacing w:after="40"/>
            </w:pPr>
            <w:r>
              <w:rPr>
                <w:rFonts w:ascii="Consolas" w:cs="Consolas" w:eastAsia="Consolas" w:hAnsi="Consolas"/>
                <w:color w:val="101A2B"/>
                <w:sz w:val="19"/>
                <w:szCs w:val="19"/>
              </w:rPr>
              <w:t xml:space="preserve">│   ├── encoders.pkl          # Fitted LabelEncoders for categorical fields</w:t>
            </w:r>
          </w:p>
          <w:p>
            <w:pPr>
              <w:spacing w:after="40"/>
            </w:pPr>
            <w:r>
              <w:rPr>
                <w:rFonts w:ascii="Consolas" w:cs="Consolas" w:eastAsia="Consolas" w:hAnsi="Consolas"/>
                <w:color w:val="101A2B"/>
                <w:sz w:val="19"/>
                <w:szCs w:val="19"/>
              </w:rPr>
              <w:t xml:space="preserve">│   ├── scaler.pkl            # Fitted StandardScaler for numeric fields</w:t>
            </w:r>
          </w:p>
          <w:p>
            <w:pPr>
              <w:spacing w:after="40"/>
            </w:pPr>
            <w:r>
              <w:rPr>
                <w:rFonts w:ascii="Consolas" w:cs="Consolas" w:eastAsia="Consolas" w:hAnsi="Consolas"/>
                <w:color w:val="101A2B"/>
                <w:sz w:val="19"/>
                <w:szCs w:val="19"/>
              </w:rPr>
              <w:t xml:space="preserve">│   ├── feature_cols.pkl      # Ordered feature list expected by the model</w:t>
            </w:r>
          </w:p>
          <w:p>
            <w:pPr>
              <w:spacing w:after="40"/>
            </w:pPr>
            <w:r>
              <w:rPr>
                <w:rFonts w:ascii="Consolas" w:cs="Consolas" w:eastAsia="Consolas" w:hAnsi="Consolas"/>
                <w:color w:val="101A2B"/>
                <w:sz w:val="19"/>
                <w:szCs w:val="19"/>
              </w:rPr>
              <w:t xml:space="preserve">│   └── model_comparison.json # Train/test accuracy for all four models</w:t>
            </w:r>
          </w:p>
          <w:p>
            <w:pPr>
              <w:spacing w:after="40"/>
            </w:pPr>
            <w:r>
              <w:rPr>
                <w:rFonts w:ascii="Consolas" w:cs="Consolas" w:eastAsia="Consolas" w:hAnsi="Consolas"/>
                <w:color w:val="101A2B"/>
                <w:sz w:val="19"/>
                <w:szCs w:val="19"/>
              </w:rPr>
              <w:t xml:space="preserve">├── notebooks/</w:t>
            </w:r>
          </w:p>
          <w:p>
            <w:pPr>
              <w:spacing w:after="40"/>
            </w:pPr>
            <w:r>
              <w:rPr>
                <w:rFonts w:ascii="Consolas" w:cs="Consolas" w:eastAsia="Consolas" w:hAnsi="Consolas"/>
                <w:color w:val="101A2B"/>
                <w:sz w:val="19"/>
                <w:szCs w:val="19"/>
              </w:rPr>
              <w:t xml:space="preserve">│   └── EDA_and_Model_Comparison.ipynb</w:t>
            </w:r>
          </w:p>
          <w:p>
            <w:pPr>
              <w:spacing w:after="40"/>
            </w:pPr>
            <w:r>
              <w:rPr>
                <w:rFonts w:ascii="Consolas" w:cs="Consolas" w:eastAsia="Consolas" w:hAnsi="Consolas"/>
                <w:color w:val="101A2B"/>
                <w:sz w:val="19"/>
                <w:szCs w:val="19"/>
              </w:rPr>
              <w:t xml:space="preserve">├── templates/</w:t>
            </w:r>
          </w:p>
          <w:p>
            <w:pPr>
              <w:spacing w:after="40"/>
            </w:pPr>
            <w:r>
              <w:rPr>
                <w:rFonts w:ascii="Consolas" w:cs="Consolas" w:eastAsia="Consolas" w:hAnsi="Consolas"/>
                <w:color w:val="101A2B"/>
                <w:sz w:val="19"/>
                <w:szCs w:val="19"/>
              </w:rPr>
              <w:t xml:space="preserve">│   ├── index.html            # Application form</w:t>
            </w:r>
          </w:p>
          <w:p>
            <w:pPr>
              <w:spacing w:after="40"/>
            </w:pPr>
            <w:r>
              <w:rPr>
                <w:rFonts w:ascii="Consolas" w:cs="Consolas" w:eastAsia="Consolas" w:hAnsi="Consolas"/>
                <w:color w:val="101A2B"/>
                <w:sz w:val="19"/>
                <w:szCs w:val="19"/>
              </w:rPr>
              <w:t xml:space="preserve">│   └── result.html           # Prediction result page</w:t>
            </w:r>
          </w:p>
          <w:p>
            <w:pPr>
              <w:spacing w:after="40"/>
            </w:pPr>
            <w:r>
              <w:rPr>
                <w:rFonts w:ascii="Consolas" w:cs="Consolas" w:eastAsia="Consolas" w:hAnsi="Consolas"/>
                <w:color w:val="101A2B"/>
                <w:sz w:val="19"/>
                <w:szCs w:val="19"/>
              </w:rPr>
              <w:t xml:space="preserve">└── static/css/style.css</w:t>
            </w:r>
          </w:p>
        </w:tc>
      </w:tr>
    </w:tbl>
    <w:p>
      <w:pPr>
        <w:pStyle w:val="Heading2"/>
        <w:spacing w:after="140" w:before="280"/>
      </w:pPr>
      <w:r>
        <w:rPr>
          <w:rFonts w:ascii="Calibri" w:cs="Calibri" w:eastAsia="Calibri" w:hAnsi="Calibri"/>
          <w:b/>
          <w:bCs/>
          <w:color w:val="2E7D6B"/>
          <w:sz w:val="24"/>
          <w:szCs w:val="24"/>
        </w:rPr>
        <w:t xml:space="preserve">Client (Presentation Layer)</w:t>
      </w:r>
    </w:p>
    <w:p>
      <w:pPr>
        <w:spacing w:after="160" w:line="300"/>
      </w:pPr>
      <w:r>
        <w:rPr>
          <w:rFonts w:ascii="Calibri" w:cs="Calibri" w:eastAsia="Calibri" w:hAnsi="Calibri"/>
          <w:color w:val="101A2B"/>
          <w:sz w:val="22"/>
          <w:szCs w:val="22"/>
        </w:rPr>
        <w:t xml:space="preserve">There is no separate client build. templates/ holds the two Jinja2 pages and static/css holds the single stylesheet they share; Flask serves both directly.</w:t>
      </w:r>
    </w:p>
    <w:p>
      <w:pPr>
        <w:pStyle w:val="Heading2"/>
        <w:spacing w:after="140" w:before="280"/>
      </w:pPr>
      <w:r>
        <w:rPr>
          <w:rFonts w:ascii="Calibri" w:cs="Calibri" w:eastAsia="Calibri" w:hAnsi="Calibri"/>
          <w:b/>
          <w:bCs/>
          <w:color w:val="2E7D6B"/>
          <w:sz w:val="24"/>
          <w:szCs w:val="24"/>
        </w:rPr>
        <w:t xml:space="preserve">Server</w:t>
      </w:r>
    </w:p>
    <w:p>
      <w:pPr>
        <w:spacing w:after="160" w:line="300"/>
      </w:pPr>
      <w:r>
        <w:rPr>
          <w:rFonts w:ascii="Calibri" w:cs="Calibri" w:eastAsia="Calibri" w:hAnsi="Calibri"/>
          <w:color w:val="101A2B"/>
          <w:sz w:val="22"/>
          <w:szCs w:val="22"/>
        </w:rPr>
        <w:t xml:space="preserve">app.py is the entire server: it loads model artifacts at startup, defines the two routes, and contains the preprocessing + gauge-geometry logic used to build the response context passed to result.html.</w:t>
      </w:r>
    </w:p>
    <w:p>
      <w:pPr>
        <w:pStyle w:val="Heading1"/>
        <w:pBdr>
          <w:bottom w:val="single" w:color="2E7D6B" w:sz="6" w:space="4"/>
        </w:pBdr>
        <w:spacing w:after="200" w:before="400"/>
      </w:pPr>
      <w:r>
        <w:rPr>
          <w:rFonts w:ascii="Calibri" w:cs="Calibri" w:eastAsia="Calibri" w:hAnsi="Calibri"/>
          <w:b/>
          <w:bCs/>
          <w:color w:val="101A2B"/>
          <w:sz w:val="30"/>
          <w:szCs w:val="30"/>
        </w:rPr>
        <w:t xml:space="preserve">6. Running the Application</w:t>
      </w:r>
    </w:p>
    <w:p>
      <w:pPr>
        <w:pStyle w:val="Heading2"/>
        <w:spacing w:after="140" w:before="280"/>
      </w:pPr>
      <w:r>
        <w:rPr>
          <w:rFonts w:ascii="Calibri" w:cs="Calibri" w:eastAsia="Calibri" w:hAnsi="Calibri"/>
          <w:b/>
          <w:bCs/>
          <w:color w:val="2E7D6B"/>
          <w:sz w:val="24"/>
          <w:szCs w:val="24"/>
        </w:rPr>
        <w:t xml:space="preserve">Local Development</w:t>
      </w:r>
    </w:p>
    <w:p>
      <w:pPr>
        <w:spacing w:after="160" w:line="300"/>
      </w:pPr>
      <w:r>
        <w:rPr>
          <w:rFonts w:ascii="Calibri" w:cs="Calibri" w:eastAsia="Calibri" w:hAnsi="Calibri"/>
          <w:color w:val="101A2B"/>
          <w:sz w:val="22"/>
          <w:szCs w:val="22"/>
        </w:rPr>
        <w:t xml:space="preserve">With the virtual environment active and the model trained (Section 4), start the Flask development server from the project root:</w:t>
      </w:r>
    </w:p>
    <w:tbl>
      <w:tblPr>
        <w:tblW w:type="pct" w:w="100%"/>
        <w:tblBorders>
          <w:top w:val="single" w:color="DDD6C4" w:sz="4"/>
          <w:left w:val="single" w:color="DDD6C4" w:sz="4"/>
          <w:bottom w:val="single" w:color="DDD6C4" w:sz="4"/>
          <w:right w:val="single" w:color="DDD6C4" w:sz="4"/>
          <w:insideH w:val="none"/>
          <w:insideV w:val="none"/>
        </w:tblBorders>
      </w:tblPr>
      <w:tblGrid>
        <w:gridCol w:w="100"/>
      </w:tblGrid>
      <w:tr>
        <w:tc>
          <w:tcPr>
            <w:shd w:fill="F4F0E6" w:val="clear"/>
            <w:tcMar>
              <w:top w:type="dxa" w:w="160"/>
              <w:left w:type="dxa" w:w="200"/>
              <w:bottom w:type="dxa" w:w="160"/>
              <w:right w:type="dxa" w:w="200"/>
            </w:tcMar>
          </w:tcPr>
          <w:p>
            <w:pPr>
              <w:spacing w:after="40"/>
            </w:pPr>
            <w:r>
              <w:rPr>
                <w:rFonts w:ascii="Consolas" w:cs="Consolas" w:eastAsia="Consolas" w:hAnsi="Consolas"/>
                <w:color w:val="101A2B"/>
                <w:sz w:val="19"/>
                <w:szCs w:val="19"/>
              </w:rPr>
              <w:t xml:space="preserve">python app.py</w:t>
            </w:r>
          </w:p>
        </w:tc>
      </w:tr>
    </w:tbl>
    <w:p>
      <w:pPr>
        <w:spacing w:after="160" w:line="300"/>
      </w:pPr>
      <w:r>
        <w:rPr>
          <w:rFonts w:ascii="Calibri" w:cs="Calibri" w:eastAsia="Calibri" w:hAnsi="Calibri"/>
          <w:color w:val="101A2B"/>
          <w:sz w:val="22"/>
          <w:szCs w:val="22"/>
        </w:rPr>
        <w:t xml:space="preserve">The app runs on http://localhost:5000 (bound to 0.0.0.0:5000) with debug mode on, and reloads automatically on code changes.</w:t>
      </w:r>
    </w:p>
    <w:p>
      <w:pPr>
        <w:pStyle w:val="Heading2"/>
        <w:spacing w:after="140" w:before="280"/>
      </w:pPr>
      <w:r>
        <w:rPr>
          <w:rFonts w:ascii="Calibri" w:cs="Calibri" w:eastAsia="Calibri" w:hAnsi="Calibri"/>
          <w:b/>
          <w:bCs/>
          <w:color w:val="2E7D6B"/>
          <w:sz w:val="24"/>
          <w:szCs w:val="24"/>
        </w:rPr>
        <w:t xml:space="preserve">Production</w:t>
      </w:r>
    </w:p>
    <w:p>
      <w:pPr>
        <w:spacing w:after="160" w:line="300"/>
      </w:pPr>
      <w:r>
        <w:rPr>
          <w:rFonts w:ascii="Calibri" w:cs="Calibri" w:eastAsia="Calibri" w:hAnsi="Calibri"/>
          <w:color w:val="101A2B"/>
          <w:sz w:val="22"/>
          <w:szCs w:val="22"/>
        </w:rPr>
        <w:t xml:space="preserve">The included Procfile runs the app behind Gunicorn instead of Flask's development server:</w:t>
      </w:r>
    </w:p>
    <w:tbl>
      <w:tblPr>
        <w:tblW w:type="pct" w:w="100%"/>
        <w:tblBorders>
          <w:top w:val="single" w:color="DDD6C4" w:sz="4"/>
          <w:left w:val="single" w:color="DDD6C4" w:sz="4"/>
          <w:bottom w:val="single" w:color="DDD6C4" w:sz="4"/>
          <w:right w:val="single" w:color="DDD6C4" w:sz="4"/>
          <w:insideH w:val="none"/>
          <w:insideV w:val="none"/>
        </w:tblBorders>
      </w:tblPr>
      <w:tblGrid>
        <w:gridCol w:w="100"/>
      </w:tblGrid>
      <w:tr>
        <w:tc>
          <w:tcPr>
            <w:shd w:fill="F4F0E6" w:val="clear"/>
            <w:tcMar>
              <w:top w:type="dxa" w:w="160"/>
              <w:left w:type="dxa" w:w="200"/>
              <w:bottom w:type="dxa" w:w="160"/>
              <w:right w:type="dxa" w:w="200"/>
            </w:tcMar>
          </w:tcPr>
          <w:p>
            <w:pPr>
              <w:spacing w:after="40"/>
            </w:pPr>
            <w:r>
              <w:rPr>
                <w:rFonts w:ascii="Consolas" w:cs="Consolas" w:eastAsia="Consolas" w:hAnsi="Consolas"/>
                <w:color w:val="101A2B"/>
                <w:sz w:val="19"/>
                <w:szCs w:val="19"/>
              </w:rPr>
              <w:t xml:space="preserve">web: gunicorn app:app</w:t>
            </w:r>
          </w:p>
        </w:tc>
      </w:tr>
    </w:tbl>
    <w:p>
      <w:pPr>
        <w:spacing w:after="160" w:line="300"/>
      </w:pPr>
      <w:r>
        <w:rPr>
          <w:rFonts w:ascii="Calibri" w:cs="Calibri" w:eastAsia="Calibri" w:hAnsi="Calibri"/>
          <w:color w:val="101A2B"/>
          <w:sz w:val="22"/>
          <w:szCs w:val="22"/>
        </w:rPr>
        <w:t xml:space="preserve">Model artifacts (model/*.pkl) must already exist — either committed or generated as a build step — before the process starts, since app.py loads them at import time.</w:t>
      </w:r>
    </w:p>
    <w:p>
      <w:pPr>
        <w:pStyle w:val="Heading1"/>
        <w:pBdr>
          <w:bottom w:val="single" w:color="2E7D6B" w:sz="6" w:space="4"/>
        </w:pBdr>
        <w:spacing w:after="200" w:before="400"/>
      </w:pPr>
      <w:r>
        <w:rPr>
          <w:rFonts w:ascii="Calibri" w:cs="Calibri" w:eastAsia="Calibri" w:hAnsi="Calibri"/>
          <w:b/>
          <w:bCs/>
          <w:color w:val="101A2B"/>
          <w:sz w:val="30"/>
          <w:szCs w:val="30"/>
        </w:rPr>
        <w:t xml:space="preserve">7. API Documentation</w:t>
      </w:r>
    </w:p>
    <w:p>
      <w:pPr>
        <w:pStyle w:val="Heading2"/>
        <w:spacing w:after="140" w:before="280"/>
      </w:pPr>
      <w:r>
        <w:rPr>
          <w:rFonts w:ascii="Calibri" w:cs="Calibri" w:eastAsia="Calibri" w:hAnsi="Calibri"/>
          <w:b/>
          <w:bCs/>
          <w:color w:val="2E7D6B"/>
          <w:sz w:val="24"/>
          <w:szCs w:val="24"/>
        </w:rPr>
        <w:t xml:space="preserve">GET /</w:t>
      </w:r>
    </w:p>
    <w:p>
      <w:pPr>
        <w:spacing w:after="160" w:line="300"/>
      </w:pPr>
      <w:r>
        <w:rPr>
          <w:rFonts w:ascii="Calibri" w:cs="Calibri" w:eastAsia="Calibri" w:hAnsi="Calibri"/>
          <w:color w:val="101A2B"/>
          <w:sz w:val="22"/>
          <w:szCs w:val="22"/>
        </w:rPr>
        <w:t xml:space="preserve">Renders the applicant intake form (templates/index.html). No parameters or authentication required.</w:t>
      </w:r>
    </w:p>
    <w:p>
      <w:pPr>
        <w:pStyle w:val="Heading2"/>
        <w:spacing w:after="140" w:before="280"/>
      </w:pPr>
      <w:r>
        <w:rPr>
          <w:rFonts w:ascii="Calibri" w:cs="Calibri" w:eastAsia="Calibri" w:hAnsi="Calibri"/>
          <w:b/>
          <w:bCs/>
          <w:color w:val="2E7D6B"/>
          <w:sz w:val="24"/>
          <w:szCs w:val="24"/>
        </w:rPr>
        <w:t xml:space="preserve">POST /predict</w:t>
      </w:r>
    </w:p>
    <w:p>
      <w:pPr>
        <w:spacing w:after="160" w:line="300"/>
      </w:pPr>
      <w:r>
        <w:rPr>
          <w:rFonts w:ascii="Calibri" w:cs="Calibri" w:eastAsia="Calibri" w:hAnsi="Calibri"/>
          <w:color w:val="101A2B"/>
          <w:sz w:val="22"/>
          <w:szCs w:val="22"/>
        </w:rPr>
        <w:t xml:space="preserve">Accepts the intake form as multipart/form-data or application/x-www-form-urlencoded and returns the rendered result page (templates/result.html).</w:t>
      </w:r>
    </w:p>
    <w:p>
      <w:pPr>
        <w:spacing w:after="100" w:before="200"/>
      </w:pPr>
      <w:r>
        <w:rPr>
          <w:rFonts w:ascii="Calibri" w:cs="Calibri" w:eastAsia="Calibri" w:hAnsi="Calibri"/>
          <w:b/>
          <w:bCs/>
          <w:color w:val="101A2B"/>
          <w:sz w:val="22"/>
          <w:szCs w:val="22"/>
        </w:rPr>
        <w:t xml:space="preserve">Request parameters</w:t>
      </w:r>
    </w:p>
    <w:tbl>
      <w:tblPr>
        <w:tblW w:type="dxa" w:w="9350"/>
        <w:tblBorders>
          <w:top w:val="single" w:color="DDD6C4" w:sz="4"/>
          <w:left w:val="single" w:color="DDD6C4" w:sz="4"/>
          <w:bottom w:val="single" w:color="DDD6C4" w:sz="4"/>
          <w:right w:val="single" w:color="DDD6C4" w:sz="4"/>
          <w:insideH w:val="single" w:color="DDD6C4" w:sz="4"/>
          <w:insideV w:val="single" w:color="DDD6C4" w:sz="4"/>
        </w:tblBorders>
      </w:tblPr>
      <w:tblGrid>
        <w:gridCol w:w="1900"/>
        <w:gridCol w:w="1200"/>
        <w:gridCol w:w="1600"/>
        <w:gridCol w:w="4650"/>
      </w:tblGrid>
      <w:tr>
        <w:trPr>
          <w:tblHeader/>
        </w:trPr>
        <w:tc>
          <w:tcPr>
            <w:tcW w:type="dxa" w:w="1900"/>
            <w:shd w:fill="101A2B"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Field</w:t>
            </w:r>
          </w:p>
        </w:tc>
        <w:tc>
          <w:tcPr>
            <w:tcW w:type="dxa" w:w="1200"/>
            <w:shd w:fill="101A2B"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Type</w:t>
            </w:r>
          </w:p>
        </w:tc>
        <w:tc>
          <w:tcPr>
            <w:tcW w:type="dxa" w:w="1600"/>
            <w:shd w:fill="101A2B"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Example</w:t>
            </w:r>
          </w:p>
        </w:tc>
        <w:tc>
          <w:tcPr>
            <w:tcW w:type="dxa" w:w="4650"/>
            <w:shd w:fill="101A2B"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Notes</w:t>
            </w:r>
          </w:p>
        </w:tc>
      </w:tr>
      <w:tr>
        <w:tc>
          <w:tcPr>
            <w:tcW w:type="dxa" w:w="1900"/>
            <w:tcMar>
              <w:top w:type="dxa" w:w="100"/>
              <w:left w:type="dxa" w:w="120"/>
              <w:bottom w:type="dxa" w:w="100"/>
              <w:right w:type="dxa" w:w="120"/>
            </w:tcMar>
          </w:tcPr>
          <w:p>
            <w:pPr>
              <w:spacing w:after="0"/>
            </w:pPr>
            <w:r>
              <w:rPr>
                <w:rFonts w:ascii="Calibri" w:cs="Calibri" w:eastAsia="Calibri" w:hAnsi="Calibri"/>
                <w:color w:val="101A2B"/>
                <w:sz w:val="20"/>
                <w:szCs w:val="20"/>
              </w:rPr>
              <w:t xml:space="preserve">gender</w:t>
            </w:r>
          </w:p>
        </w:tc>
        <w:tc>
          <w:tcPr>
            <w:tcW w:type="dxa" w:w="1200"/>
            <w:tcMar>
              <w:top w:type="dxa" w:w="100"/>
              <w:left w:type="dxa" w:w="120"/>
              <w:bottom w:type="dxa" w:w="100"/>
              <w:right w:type="dxa" w:w="120"/>
            </w:tcMar>
          </w:tcPr>
          <w:p>
            <w:pPr>
              <w:spacing w:after="0"/>
            </w:pPr>
            <w:r>
              <w:rPr>
                <w:rFonts w:ascii="Calibri" w:cs="Calibri" w:eastAsia="Calibri" w:hAnsi="Calibri"/>
                <w:color w:val="101A2B"/>
                <w:sz w:val="20"/>
                <w:szCs w:val="20"/>
              </w:rPr>
              <w:t xml:space="preserve">string</w:t>
            </w:r>
          </w:p>
        </w:tc>
        <w:tc>
          <w:tcPr>
            <w:tcW w:type="dxa" w:w="1600"/>
            <w:tcMar>
              <w:top w:type="dxa" w:w="100"/>
              <w:left w:type="dxa" w:w="120"/>
              <w:bottom w:type="dxa" w:w="100"/>
              <w:right w:type="dxa" w:w="120"/>
            </w:tcMar>
          </w:tcPr>
          <w:p>
            <w:pPr>
              <w:spacing w:after="0"/>
            </w:pPr>
            <w:r>
              <w:rPr>
                <w:rFonts w:ascii="Calibri" w:cs="Calibri" w:eastAsia="Calibri" w:hAnsi="Calibri"/>
                <w:color w:val="101A2B"/>
                <w:sz w:val="20"/>
                <w:szCs w:val="20"/>
              </w:rPr>
              <w:t xml:space="preserve">Male</w:t>
            </w:r>
          </w:p>
        </w:tc>
        <w:tc>
          <w:tcPr>
            <w:tcW w:type="dxa" w:w="4650"/>
            <w:tcMar>
              <w:top w:type="dxa" w:w="100"/>
              <w:left w:type="dxa" w:w="120"/>
              <w:bottom w:type="dxa" w:w="100"/>
              <w:right w:type="dxa" w:w="120"/>
            </w:tcMar>
          </w:tcPr>
          <w:p>
            <w:pPr>
              <w:spacing w:after="0"/>
            </w:pPr>
            <w:r>
              <w:rPr>
                <w:rFonts w:ascii="Calibri" w:cs="Calibri" w:eastAsia="Calibri" w:hAnsi="Calibri"/>
                <w:color w:val="101A2B"/>
                <w:sz w:val="20"/>
                <w:szCs w:val="20"/>
              </w:rPr>
              <w:t xml:space="preserve">"Male" or "Female"</w:t>
            </w:r>
          </w:p>
        </w:tc>
      </w:tr>
      <w:tr>
        <w:tc>
          <w:tcPr>
            <w:tcW w:type="dxa" w:w="1900"/>
            <w:tcMar>
              <w:top w:type="dxa" w:w="100"/>
              <w:left w:type="dxa" w:w="120"/>
              <w:bottom w:type="dxa" w:w="100"/>
              <w:right w:type="dxa" w:w="120"/>
            </w:tcMar>
          </w:tcPr>
          <w:p>
            <w:pPr>
              <w:spacing w:after="0"/>
            </w:pPr>
            <w:r>
              <w:rPr>
                <w:rFonts w:ascii="Calibri" w:cs="Calibri" w:eastAsia="Calibri" w:hAnsi="Calibri"/>
                <w:color w:val="101A2B"/>
                <w:sz w:val="20"/>
                <w:szCs w:val="20"/>
              </w:rPr>
              <w:t xml:space="preserve">married</w:t>
            </w:r>
          </w:p>
        </w:tc>
        <w:tc>
          <w:tcPr>
            <w:tcW w:type="dxa" w:w="1200"/>
            <w:tcMar>
              <w:top w:type="dxa" w:w="100"/>
              <w:left w:type="dxa" w:w="120"/>
              <w:bottom w:type="dxa" w:w="100"/>
              <w:right w:type="dxa" w:w="120"/>
            </w:tcMar>
          </w:tcPr>
          <w:p>
            <w:pPr>
              <w:spacing w:after="0"/>
            </w:pPr>
            <w:r>
              <w:rPr>
                <w:rFonts w:ascii="Calibri" w:cs="Calibri" w:eastAsia="Calibri" w:hAnsi="Calibri"/>
                <w:color w:val="101A2B"/>
                <w:sz w:val="20"/>
                <w:szCs w:val="20"/>
              </w:rPr>
              <w:t xml:space="preserve">string</w:t>
            </w:r>
          </w:p>
        </w:tc>
        <w:tc>
          <w:tcPr>
            <w:tcW w:type="dxa" w:w="1600"/>
            <w:tcMar>
              <w:top w:type="dxa" w:w="100"/>
              <w:left w:type="dxa" w:w="120"/>
              <w:bottom w:type="dxa" w:w="100"/>
              <w:right w:type="dxa" w:w="120"/>
            </w:tcMar>
          </w:tcPr>
          <w:p>
            <w:pPr>
              <w:spacing w:after="0"/>
            </w:pPr>
            <w:r>
              <w:rPr>
                <w:rFonts w:ascii="Calibri" w:cs="Calibri" w:eastAsia="Calibri" w:hAnsi="Calibri"/>
                <w:color w:val="101A2B"/>
                <w:sz w:val="20"/>
                <w:szCs w:val="20"/>
              </w:rPr>
              <w:t xml:space="preserve">Yes</w:t>
            </w:r>
          </w:p>
        </w:tc>
        <w:tc>
          <w:tcPr>
            <w:tcW w:type="dxa" w:w="4650"/>
            <w:tcMar>
              <w:top w:type="dxa" w:w="100"/>
              <w:left w:type="dxa" w:w="120"/>
              <w:bottom w:type="dxa" w:w="100"/>
              <w:right w:type="dxa" w:w="120"/>
            </w:tcMar>
          </w:tcPr>
          <w:p>
            <w:pPr>
              <w:spacing w:after="0"/>
            </w:pPr>
            <w:r>
              <w:rPr>
                <w:rFonts w:ascii="Calibri" w:cs="Calibri" w:eastAsia="Calibri" w:hAnsi="Calibri"/>
                <w:color w:val="101A2B"/>
                <w:sz w:val="20"/>
                <w:szCs w:val="20"/>
              </w:rPr>
              <w:t xml:space="preserve">"Yes" or "No"</w:t>
            </w:r>
          </w:p>
        </w:tc>
      </w:tr>
      <w:tr>
        <w:tc>
          <w:tcPr>
            <w:tcW w:type="dxa" w:w="1900"/>
            <w:tcMar>
              <w:top w:type="dxa" w:w="100"/>
              <w:left w:type="dxa" w:w="120"/>
              <w:bottom w:type="dxa" w:w="100"/>
              <w:right w:type="dxa" w:w="120"/>
            </w:tcMar>
          </w:tcPr>
          <w:p>
            <w:pPr>
              <w:spacing w:after="0"/>
            </w:pPr>
            <w:r>
              <w:rPr>
                <w:rFonts w:ascii="Calibri" w:cs="Calibri" w:eastAsia="Calibri" w:hAnsi="Calibri"/>
                <w:color w:val="101A2B"/>
                <w:sz w:val="20"/>
                <w:szCs w:val="20"/>
              </w:rPr>
              <w:t xml:space="preserve">dependents</w:t>
            </w:r>
          </w:p>
        </w:tc>
        <w:tc>
          <w:tcPr>
            <w:tcW w:type="dxa" w:w="1200"/>
            <w:tcMar>
              <w:top w:type="dxa" w:w="100"/>
              <w:left w:type="dxa" w:w="120"/>
              <w:bottom w:type="dxa" w:w="100"/>
              <w:right w:type="dxa" w:w="120"/>
            </w:tcMar>
          </w:tcPr>
          <w:p>
            <w:pPr>
              <w:spacing w:after="0"/>
            </w:pPr>
            <w:r>
              <w:rPr>
                <w:rFonts w:ascii="Calibri" w:cs="Calibri" w:eastAsia="Calibri" w:hAnsi="Calibri"/>
                <w:color w:val="101A2B"/>
                <w:sz w:val="20"/>
                <w:szCs w:val="20"/>
              </w:rPr>
              <w:t xml:space="preserve">string</w:t>
            </w:r>
          </w:p>
        </w:tc>
        <w:tc>
          <w:tcPr>
            <w:tcW w:type="dxa" w:w="1600"/>
            <w:tcMar>
              <w:top w:type="dxa" w:w="100"/>
              <w:left w:type="dxa" w:w="120"/>
              <w:bottom w:type="dxa" w:w="100"/>
              <w:right w:type="dxa" w:w="120"/>
            </w:tcMar>
          </w:tcPr>
          <w:p>
            <w:pPr>
              <w:spacing w:after="0"/>
            </w:pPr>
            <w:r>
              <w:rPr>
                <w:rFonts w:ascii="Calibri" w:cs="Calibri" w:eastAsia="Calibri" w:hAnsi="Calibri"/>
                <w:color w:val="101A2B"/>
                <w:sz w:val="20"/>
                <w:szCs w:val="20"/>
              </w:rPr>
              <w:t xml:space="preserve">0</w:t>
            </w:r>
          </w:p>
        </w:tc>
        <w:tc>
          <w:tcPr>
            <w:tcW w:type="dxa" w:w="4650"/>
            <w:tcMar>
              <w:top w:type="dxa" w:w="100"/>
              <w:left w:type="dxa" w:w="120"/>
              <w:bottom w:type="dxa" w:w="100"/>
              <w:right w:type="dxa" w:w="120"/>
            </w:tcMar>
          </w:tcPr>
          <w:p>
            <w:pPr>
              <w:spacing w:after="0"/>
            </w:pPr>
            <w:r>
              <w:rPr>
                <w:rFonts w:ascii="Calibri" w:cs="Calibri" w:eastAsia="Calibri" w:hAnsi="Calibri"/>
                <w:color w:val="101A2B"/>
                <w:sz w:val="20"/>
                <w:szCs w:val="20"/>
              </w:rPr>
              <w:t xml:space="preserve">"0", "1", "2", or "3+"</w:t>
            </w:r>
          </w:p>
        </w:tc>
      </w:tr>
      <w:tr>
        <w:tc>
          <w:tcPr>
            <w:tcW w:type="dxa" w:w="1900"/>
            <w:tcMar>
              <w:top w:type="dxa" w:w="100"/>
              <w:left w:type="dxa" w:w="120"/>
              <w:bottom w:type="dxa" w:w="100"/>
              <w:right w:type="dxa" w:w="120"/>
            </w:tcMar>
          </w:tcPr>
          <w:p>
            <w:pPr>
              <w:spacing w:after="0"/>
            </w:pPr>
            <w:r>
              <w:rPr>
                <w:rFonts w:ascii="Calibri" w:cs="Calibri" w:eastAsia="Calibri" w:hAnsi="Calibri"/>
                <w:color w:val="101A2B"/>
                <w:sz w:val="20"/>
                <w:szCs w:val="20"/>
              </w:rPr>
              <w:t xml:space="preserve">education</w:t>
            </w:r>
          </w:p>
        </w:tc>
        <w:tc>
          <w:tcPr>
            <w:tcW w:type="dxa" w:w="1200"/>
            <w:tcMar>
              <w:top w:type="dxa" w:w="100"/>
              <w:left w:type="dxa" w:w="120"/>
              <w:bottom w:type="dxa" w:w="100"/>
              <w:right w:type="dxa" w:w="120"/>
            </w:tcMar>
          </w:tcPr>
          <w:p>
            <w:pPr>
              <w:spacing w:after="0"/>
            </w:pPr>
            <w:r>
              <w:rPr>
                <w:rFonts w:ascii="Calibri" w:cs="Calibri" w:eastAsia="Calibri" w:hAnsi="Calibri"/>
                <w:color w:val="101A2B"/>
                <w:sz w:val="20"/>
                <w:szCs w:val="20"/>
              </w:rPr>
              <w:t xml:space="preserve">string</w:t>
            </w:r>
          </w:p>
        </w:tc>
        <w:tc>
          <w:tcPr>
            <w:tcW w:type="dxa" w:w="1600"/>
            <w:tcMar>
              <w:top w:type="dxa" w:w="100"/>
              <w:left w:type="dxa" w:w="120"/>
              <w:bottom w:type="dxa" w:w="100"/>
              <w:right w:type="dxa" w:w="120"/>
            </w:tcMar>
          </w:tcPr>
          <w:p>
            <w:pPr>
              <w:spacing w:after="0"/>
            </w:pPr>
            <w:r>
              <w:rPr>
                <w:rFonts w:ascii="Calibri" w:cs="Calibri" w:eastAsia="Calibri" w:hAnsi="Calibri"/>
                <w:color w:val="101A2B"/>
                <w:sz w:val="20"/>
                <w:szCs w:val="20"/>
              </w:rPr>
              <w:t xml:space="preserve">Graduate</w:t>
            </w:r>
          </w:p>
        </w:tc>
        <w:tc>
          <w:tcPr>
            <w:tcW w:type="dxa" w:w="4650"/>
            <w:tcMar>
              <w:top w:type="dxa" w:w="100"/>
              <w:left w:type="dxa" w:w="120"/>
              <w:bottom w:type="dxa" w:w="100"/>
              <w:right w:type="dxa" w:w="120"/>
            </w:tcMar>
          </w:tcPr>
          <w:p>
            <w:pPr>
              <w:spacing w:after="0"/>
            </w:pPr>
            <w:r>
              <w:rPr>
                <w:rFonts w:ascii="Calibri" w:cs="Calibri" w:eastAsia="Calibri" w:hAnsi="Calibri"/>
                <w:color w:val="101A2B"/>
                <w:sz w:val="20"/>
                <w:szCs w:val="20"/>
              </w:rPr>
              <w:t xml:space="preserve">"Graduate" or "Not Graduate"</w:t>
            </w:r>
          </w:p>
        </w:tc>
      </w:tr>
      <w:tr>
        <w:tc>
          <w:tcPr>
            <w:tcW w:type="dxa" w:w="1900"/>
            <w:tcMar>
              <w:top w:type="dxa" w:w="100"/>
              <w:left w:type="dxa" w:w="120"/>
              <w:bottom w:type="dxa" w:w="100"/>
              <w:right w:type="dxa" w:w="120"/>
            </w:tcMar>
          </w:tcPr>
          <w:p>
            <w:pPr>
              <w:spacing w:after="0"/>
            </w:pPr>
            <w:r>
              <w:rPr>
                <w:rFonts w:ascii="Calibri" w:cs="Calibri" w:eastAsia="Calibri" w:hAnsi="Calibri"/>
                <w:color w:val="101A2B"/>
                <w:sz w:val="20"/>
                <w:szCs w:val="20"/>
              </w:rPr>
              <w:t xml:space="preserve">self_employed</w:t>
            </w:r>
          </w:p>
        </w:tc>
        <w:tc>
          <w:tcPr>
            <w:tcW w:type="dxa" w:w="1200"/>
            <w:tcMar>
              <w:top w:type="dxa" w:w="100"/>
              <w:left w:type="dxa" w:w="120"/>
              <w:bottom w:type="dxa" w:w="100"/>
              <w:right w:type="dxa" w:w="120"/>
            </w:tcMar>
          </w:tcPr>
          <w:p>
            <w:pPr>
              <w:spacing w:after="0"/>
            </w:pPr>
            <w:r>
              <w:rPr>
                <w:rFonts w:ascii="Calibri" w:cs="Calibri" w:eastAsia="Calibri" w:hAnsi="Calibri"/>
                <w:color w:val="101A2B"/>
                <w:sz w:val="20"/>
                <w:szCs w:val="20"/>
              </w:rPr>
              <w:t xml:space="preserve">string</w:t>
            </w:r>
          </w:p>
        </w:tc>
        <w:tc>
          <w:tcPr>
            <w:tcW w:type="dxa" w:w="1600"/>
            <w:tcMar>
              <w:top w:type="dxa" w:w="100"/>
              <w:left w:type="dxa" w:w="120"/>
              <w:bottom w:type="dxa" w:w="100"/>
              <w:right w:type="dxa" w:w="120"/>
            </w:tcMar>
          </w:tcPr>
          <w:p>
            <w:pPr>
              <w:spacing w:after="0"/>
            </w:pPr>
            <w:r>
              <w:rPr>
                <w:rFonts w:ascii="Calibri" w:cs="Calibri" w:eastAsia="Calibri" w:hAnsi="Calibri"/>
                <w:color w:val="101A2B"/>
                <w:sz w:val="20"/>
                <w:szCs w:val="20"/>
              </w:rPr>
              <w:t xml:space="preserve">No</w:t>
            </w:r>
          </w:p>
        </w:tc>
        <w:tc>
          <w:tcPr>
            <w:tcW w:type="dxa" w:w="4650"/>
            <w:tcMar>
              <w:top w:type="dxa" w:w="100"/>
              <w:left w:type="dxa" w:w="120"/>
              <w:bottom w:type="dxa" w:w="100"/>
              <w:right w:type="dxa" w:w="120"/>
            </w:tcMar>
          </w:tcPr>
          <w:p>
            <w:pPr>
              <w:spacing w:after="0"/>
            </w:pPr>
            <w:r>
              <w:rPr>
                <w:rFonts w:ascii="Calibri" w:cs="Calibri" w:eastAsia="Calibri" w:hAnsi="Calibri"/>
                <w:color w:val="101A2B"/>
                <w:sz w:val="20"/>
                <w:szCs w:val="20"/>
              </w:rPr>
              <w:t xml:space="preserve">"Yes" or "No"</w:t>
            </w:r>
          </w:p>
        </w:tc>
      </w:tr>
      <w:tr>
        <w:tc>
          <w:tcPr>
            <w:tcW w:type="dxa" w:w="1900"/>
            <w:tcMar>
              <w:top w:type="dxa" w:w="100"/>
              <w:left w:type="dxa" w:w="120"/>
              <w:bottom w:type="dxa" w:w="100"/>
              <w:right w:type="dxa" w:w="120"/>
            </w:tcMar>
          </w:tcPr>
          <w:p>
            <w:pPr>
              <w:spacing w:after="0"/>
            </w:pPr>
            <w:r>
              <w:rPr>
                <w:rFonts w:ascii="Calibri" w:cs="Calibri" w:eastAsia="Calibri" w:hAnsi="Calibri"/>
                <w:color w:val="101A2B"/>
                <w:sz w:val="20"/>
                <w:szCs w:val="20"/>
              </w:rPr>
              <w:t xml:space="preserve">applicant_income</w:t>
            </w:r>
          </w:p>
        </w:tc>
        <w:tc>
          <w:tcPr>
            <w:tcW w:type="dxa" w:w="1200"/>
            <w:tcMar>
              <w:top w:type="dxa" w:w="100"/>
              <w:left w:type="dxa" w:w="120"/>
              <w:bottom w:type="dxa" w:w="100"/>
              <w:right w:type="dxa" w:w="120"/>
            </w:tcMar>
          </w:tcPr>
          <w:p>
            <w:pPr>
              <w:spacing w:after="0"/>
            </w:pPr>
            <w:r>
              <w:rPr>
                <w:rFonts w:ascii="Calibri" w:cs="Calibri" w:eastAsia="Calibri" w:hAnsi="Calibri"/>
                <w:color w:val="101A2B"/>
                <w:sz w:val="20"/>
                <w:szCs w:val="20"/>
              </w:rPr>
              <w:t xml:space="preserve">number</w:t>
            </w:r>
          </w:p>
        </w:tc>
        <w:tc>
          <w:tcPr>
            <w:tcW w:type="dxa" w:w="1600"/>
            <w:tcMar>
              <w:top w:type="dxa" w:w="100"/>
              <w:left w:type="dxa" w:w="120"/>
              <w:bottom w:type="dxa" w:w="100"/>
              <w:right w:type="dxa" w:w="120"/>
            </w:tcMar>
          </w:tcPr>
          <w:p>
            <w:pPr>
              <w:spacing w:after="0"/>
            </w:pPr>
            <w:r>
              <w:rPr>
                <w:rFonts w:ascii="Calibri" w:cs="Calibri" w:eastAsia="Calibri" w:hAnsi="Calibri"/>
                <w:color w:val="101A2B"/>
                <w:sz w:val="20"/>
                <w:szCs w:val="20"/>
              </w:rPr>
              <w:t xml:space="preserve">6200</w:t>
            </w:r>
          </w:p>
        </w:tc>
        <w:tc>
          <w:tcPr>
            <w:tcW w:type="dxa" w:w="4650"/>
            <w:tcMar>
              <w:top w:type="dxa" w:w="100"/>
              <w:left w:type="dxa" w:w="120"/>
              <w:bottom w:type="dxa" w:w="100"/>
              <w:right w:type="dxa" w:w="120"/>
            </w:tcMar>
          </w:tcPr>
          <w:p>
            <w:pPr>
              <w:spacing w:after="0"/>
            </w:pPr>
            <w:r>
              <w:rPr>
                <w:rFonts w:ascii="Calibri" w:cs="Calibri" w:eastAsia="Calibri" w:hAnsi="Calibri"/>
                <w:color w:val="101A2B"/>
                <w:sz w:val="20"/>
                <w:szCs w:val="20"/>
              </w:rPr>
              <w:t xml:space="preserve">Monthly income</w:t>
            </w:r>
          </w:p>
        </w:tc>
      </w:tr>
      <w:tr>
        <w:tc>
          <w:tcPr>
            <w:tcW w:type="dxa" w:w="1900"/>
            <w:tcMar>
              <w:top w:type="dxa" w:w="100"/>
              <w:left w:type="dxa" w:w="120"/>
              <w:bottom w:type="dxa" w:w="100"/>
              <w:right w:type="dxa" w:w="120"/>
            </w:tcMar>
          </w:tcPr>
          <w:p>
            <w:pPr>
              <w:spacing w:after="0"/>
            </w:pPr>
            <w:r>
              <w:rPr>
                <w:rFonts w:ascii="Calibri" w:cs="Calibri" w:eastAsia="Calibri" w:hAnsi="Calibri"/>
                <w:color w:val="101A2B"/>
                <w:sz w:val="20"/>
                <w:szCs w:val="20"/>
              </w:rPr>
              <w:t xml:space="preserve">coapplicant_income</w:t>
            </w:r>
          </w:p>
        </w:tc>
        <w:tc>
          <w:tcPr>
            <w:tcW w:type="dxa" w:w="1200"/>
            <w:tcMar>
              <w:top w:type="dxa" w:w="100"/>
              <w:left w:type="dxa" w:w="120"/>
              <w:bottom w:type="dxa" w:w="100"/>
              <w:right w:type="dxa" w:w="120"/>
            </w:tcMar>
          </w:tcPr>
          <w:p>
            <w:pPr>
              <w:spacing w:after="0"/>
            </w:pPr>
            <w:r>
              <w:rPr>
                <w:rFonts w:ascii="Calibri" w:cs="Calibri" w:eastAsia="Calibri" w:hAnsi="Calibri"/>
                <w:color w:val="101A2B"/>
                <w:sz w:val="20"/>
                <w:szCs w:val="20"/>
              </w:rPr>
              <w:t xml:space="preserve">number</w:t>
            </w:r>
          </w:p>
        </w:tc>
        <w:tc>
          <w:tcPr>
            <w:tcW w:type="dxa" w:w="1600"/>
            <w:tcMar>
              <w:top w:type="dxa" w:w="100"/>
              <w:left w:type="dxa" w:w="120"/>
              <w:bottom w:type="dxa" w:w="100"/>
              <w:right w:type="dxa" w:w="120"/>
            </w:tcMar>
          </w:tcPr>
          <w:p>
            <w:pPr>
              <w:spacing w:after="0"/>
            </w:pPr>
            <w:r>
              <w:rPr>
                <w:rFonts w:ascii="Calibri" w:cs="Calibri" w:eastAsia="Calibri" w:hAnsi="Calibri"/>
                <w:color w:val="101A2B"/>
                <w:sz w:val="20"/>
                <w:szCs w:val="20"/>
              </w:rPr>
              <w:t xml:space="preserve">1800</w:t>
            </w:r>
          </w:p>
        </w:tc>
        <w:tc>
          <w:tcPr>
            <w:tcW w:type="dxa" w:w="4650"/>
            <w:tcMar>
              <w:top w:type="dxa" w:w="100"/>
              <w:left w:type="dxa" w:w="120"/>
              <w:bottom w:type="dxa" w:w="100"/>
              <w:right w:type="dxa" w:w="120"/>
            </w:tcMar>
          </w:tcPr>
          <w:p>
            <w:pPr>
              <w:spacing w:after="0"/>
            </w:pPr>
            <w:r>
              <w:rPr>
                <w:rFonts w:ascii="Calibri" w:cs="Calibri" w:eastAsia="Calibri" w:hAnsi="Calibri"/>
                <w:color w:val="101A2B"/>
                <w:sz w:val="20"/>
                <w:szCs w:val="20"/>
              </w:rPr>
              <w:t xml:space="preserve">0 if none</w:t>
            </w:r>
          </w:p>
        </w:tc>
      </w:tr>
      <w:tr>
        <w:tc>
          <w:tcPr>
            <w:tcW w:type="dxa" w:w="1900"/>
            <w:tcMar>
              <w:top w:type="dxa" w:w="100"/>
              <w:left w:type="dxa" w:w="120"/>
              <w:bottom w:type="dxa" w:w="100"/>
              <w:right w:type="dxa" w:w="120"/>
            </w:tcMar>
          </w:tcPr>
          <w:p>
            <w:pPr>
              <w:spacing w:after="0"/>
            </w:pPr>
            <w:r>
              <w:rPr>
                <w:rFonts w:ascii="Calibri" w:cs="Calibri" w:eastAsia="Calibri" w:hAnsi="Calibri"/>
                <w:color w:val="101A2B"/>
                <w:sz w:val="20"/>
                <w:szCs w:val="20"/>
              </w:rPr>
              <w:t xml:space="preserve">loan_amount</w:t>
            </w:r>
          </w:p>
        </w:tc>
        <w:tc>
          <w:tcPr>
            <w:tcW w:type="dxa" w:w="1200"/>
            <w:tcMar>
              <w:top w:type="dxa" w:w="100"/>
              <w:left w:type="dxa" w:w="120"/>
              <w:bottom w:type="dxa" w:w="100"/>
              <w:right w:type="dxa" w:w="120"/>
            </w:tcMar>
          </w:tcPr>
          <w:p>
            <w:pPr>
              <w:spacing w:after="0"/>
            </w:pPr>
            <w:r>
              <w:rPr>
                <w:rFonts w:ascii="Calibri" w:cs="Calibri" w:eastAsia="Calibri" w:hAnsi="Calibri"/>
                <w:color w:val="101A2B"/>
                <w:sz w:val="20"/>
                <w:szCs w:val="20"/>
              </w:rPr>
              <w:t xml:space="preserve">number</w:t>
            </w:r>
          </w:p>
        </w:tc>
        <w:tc>
          <w:tcPr>
            <w:tcW w:type="dxa" w:w="1600"/>
            <w:tcMar>
              <w:top w:type="dxa" w:w="100"/>
              <w:left w:type="dxa" w:w="120"/>
              <w:bottom w:type="dxa" w:w="100"/>
              <w:right w:type="dxa" w:w="120"/>
            </w:tcMar>
          </w:tcPr>
          <w:p>
            <w:pPr>
              <w:spacing w:after="0"/>
            </w:pPr>
            <w:r>
              <w:rPr>
                <w:rFonts w:ascii="Calibri" w:cs="Calibri" w:eastAsia="Calibri" w:hAnsi="Calibri"/>
                <w:color w:val="101A2B"/>
                <w:sz w:val="20"/>
                <w:szCs w:val="20"/>
              </w:rPr>
              <w:t xml:space="preserve">120</w:t>
            </w:r>
          </w:p>
        </w:tc>
        <w:tc>
          <w:tcPr>
            <w:tcW w:type="dxa" w:w="4650"/>
            <w:tcMar>
              <w:top w:type="dxa" w:w="100"/>
              <w:left w:type="dxa" w:w="120"/>
              <w:bottom w:type="dxa" w:w="100"/>
              <w:right w:type="dxa" w:w="120"/>
            </w:tcMar>
          </w:tcPr>
          <w:p>
            <w:pPr>
              <w:spacing w:after="0"/>
            </w:pPr>
            <w:r>
              <w:rPr>
                <w:rFonts w:ascii="Calibri" w:cs="Calibri" w:eastAsia="Calibri" w:hAnsi="Calibri"/>
                <w:color w:val="101A2B"/>
                <w:sz w:val="20"/>
                <w:szCs w:val="20"/>
              </w:rPr>
              <w:t xml:space="preserve">Requested amount, in thousands</w:t>
            </w:r>
          </w:p>
        </w:tc>
      </w:tr>
      <w:tr>
        <w:tc>
          <w:tcPr>
            <w:tcW w:type="dxa" w:w="1900"/>
            <w:tcMar>
              <w:top w:type="dxa" w:w="100"/>
              <w:left w:type="dxa" w:w="120"/>
              <w:bottom w:type="dxa" w:w="100"/>
              <w:right w:type="dxa" w:w="120"/>
            </w:tcMar>
          </w:tcPr>
          <w:p>
            <w:pPr>
              <w:spacing w:after="0"/>
            </w:pPr>
            <w:r>
              <w:rPr>
                <w:rFonts w:ascii="Calibri" w:cs="Calibri" w:eastAsia="Calibri" w:hAnsi="Calibri"/>
                <w:color w:val="101A2B"/>
                <w:sz w:val="20"/>
                <w:szCs w:val="20"/>
              </w:rPr>
              <w:t xml:space="preserve">loan_term</w:t>
            </w:r>
          </w:p>
        </w:tc>
        <w:tc>
          <w:tcPr>
            <w:tcW w:type="dxa" w:w="1200"/>
            <w:tcMar>
              <w:top w:type="dxa" w:w="100"/>
              <w:left w:type="dxa" w:w="120"/>
              <w:bottom w:type="dxa" w:w="100"/>
              <w:right w:type="dxa" w:w="120"/>
            </w:tcMar>
          </w:tcPr>
          <w:p>
            <w:pPr>
              <w:spacing w:after="0"/>
            </w:pPr>
            <w:r>
              <w:rPr>
                <w:rFonts w:ascii="Calibri" w:cs="Calibri" w:eastAsia="Calibri" w:hAnsi="Calibri"/>
                <w:color w:val="101A2B"/>
                <w:sz w:val="20"/>
                <w:szCs w:val="20"/>
              </w:rPr>
              <w:t xml:space="preserve">number</w:t>
            </w:r>
          </w:p>
        </w:tc>
        <w:tc>
          <w:tcPr>
            <w:tcW w:type="dxa" w:w="1600"/>
            <w:tcMar>
              <w:top w:type="dxa" w:w="100"/>
              <w:left w:type="dxa" w:w="120"/>
              <w:bottom w:type="dxa" w:w="100"/>
              <w:right w:type="dxa" w:w="120"/>
            </w:tcMar>
          </w:tcPr>
          <w:p>
            <w:pPr>
              <w:spacing w:after="0"/>
            </w:pPr>
            <w:r>
              <w:rPr>
                <w:rFonts w:ascii="Calibri" w:cs="Calibri" w:eastAsia="Calibri" w:hAnsi="Calibri"/>
                <w:color w:val="101A2B"/>
                <w:sz w:val="20"/>
                <w:szCs w:val="20"/>
              </w:rPr>
              <w:t xml:space="preserve">360</w:t>
            </w:r>
          </w:p>
        </w:tc>
        <w:tc>
          <w:tcPr>
            <w:tcW w:type="dxa" w:w="4650"/>
            <w:tcMar>
              <w:top w:type="dxa" w:w="100"/>
              <w:left w:type="dxa" w:w="120"/>
              <w:bottom w:type="dxa" w:w="100"/>
              <w:right w:type="dxa" w:w="120"/>
            </w:tcMar>
          </w:tcPr>
          <w:p>
            <w:pPr>
              <w:spacing w:after="0"/>
            </w:pPr>
            <w:r>
              <w:rPr>
                <w:rFonts w:ascii="Calibri" w:cs="Calibri" w:eastAsia="Calibri" w:hAnsi="Calibri"/>
                <w:color w:val="101A2B"/>
                <w:sz w:val="20"/>
                <w:szCs w:val="20"/>
              </w:rPr>
              <w:t xml:space="preserve">Loan term in months</w:t>
            </w:r>
          </w:p>
        </w:tc>
      </w:tr>
      <w:tr>
        <w:tc>
          <w:tcPr>
            <w:tcW w:type="dxa" w:w="1900"/>
            <w:tcMar>
              <w:top w:type="dxa" w:w="100"/>
              <w:left w:type="dxa" w:w="120"/>
              <w:bottom w:type="dxa" w:w="100"/>
              <w:right w:type="dxa" w:w="120"/>
            </w:tcMar>
          </w:tcPr>
          <w:p>
            <w:pPr>
              <w:spacing w:after="0"/>
            </w:pPr>
            <w:r>
              <w:rPr>
                <w:rFonts w:ascii="Calibri" w:cs="Calibri" w:eastAsia="Calibri" w:hAnsi="Calibri"/>
                <w:color w:val="101A2B"/>
                <w:sz w:val="20"/>
                <w:szCs w:val="20"/>
              </w:rPr>
              <w:t xml:space="preserve">credit_history</w:t>
            </w:r>
          </w:p>
        </w:tc>
        <w:tc>
          <w:tcPr>
            <w:tcW w:type="dxa" w:w="1200"/>
            <w:tcMar>
              <w:top w:type="dxa" w:w="100"/>
              <w:left w:type="dxa" w:w="120"/>
              <w:bottom w:type="dxa" w:w="100"/>
              <w:right w:type="dxa" w:w="120"/>
            </w:tcMar>
          </w:tcPr>
          <w:p>
            <w:pPr>
              <w:spacing w:after="0"/>
            </w:pPr>
            <w:r>
              <w:rPr>
                <w:rFonts w:ascii="Calibri" w:cs="Calibri" w:eastAsia="Calibri" w:hAnsi="Calibri"/>
                <w:color w:val="101A2B"/>
                <w:sz w:val="20"/>
                <w:szCs w:val="20"/>
              </w:rPr>
              <w:t xml:space="preserve">number</w:t>
            </w:r>
          </w:p>
        </w:tc>
        <w:tc>
          <w:tcPr>
            <w:tcW w:type="dxa" w:w="1600"/>
            <w:tcMar>
              <w:top w:type="dxa" w:w="100"/>
              <w:left w:type="dxa" w:w="120"/>
              <w:bottom w:type="dxa" w:w="100"/>
              <w:right w:type="dxa" w:w="120"/>
            </w:tcMar>
          </w:tcPr>
          <w:p>
            <w:pPr>
              <w:spacing w:after="0"/>
            </w:pPr>
            <w:r>
              <w:rPr>
                <w:rFonts w:ascii="Calibri" w:cs="Calibri" w:eastAsia="Calibri" w:hAnsi="Calibri"/>
                <w:color w:val="101A2B"/>
                <w:sz w:val="20"/>
                <w:szCs w:val="20"/>
              </w:rPr>
              <w:t xml:space="preserve">1</w:t>
            </w:r>
          </w:p>
        </w:tc>
        <w:tc>
          <w:tcPr>
            <w:tcW w:type="dxa" w:w="4650"/>
            <w:tcMar>
              <w:top w:type="dxa" w:w="100"/>
              <w:left w:type="dxa" w:w="120"/>
              <w:bottom w:type="dxa" w:w="100"/>
              <w:right w:type="dxa" w:w="120"/>
            </w:tcMar>
          </w:tcPr>
          <w:p>
            <w:pPr>
              <w:spacing w:after="0"/>
            </w:pPr>
            <w:r>
              <w:rPr>
                <w:rFonts w:ascii="Calibri" w:cs="Calibri" w:eastAsia="Calibri" w:hAnsi="Calibri"/>
                <w:color w:val="101A2B"/>
                <w:sz w:val="20"/>
                <w:szCs w:val="20"/>
              </w:rPr>
              <w:t xml:space="preserve">1 = meets guidelines, 0 = does not</w:t>
            </w:r>
          </w:p>
        </w:tc>
      </w:tr>
      <w:tr>
        <w:tc>
          <w:tcPr>
            <w:tcW w:type="dxa" w:w="1900"/>
            <w:tcMar>
              <w:top w:type="dxa" w:w="100"/>
              <w:left w:type="dxa" w:w="120"/>
              <w:bottom w:type="dxa" w:w="100"/>
              <w:right w:type="dxa" w:w="120"/>
            </w:tcMar>
          </w:tcPr>
          <w:p>
            <w:pPr>
              <w:spacing w:after="0"/>
            </w:pPr>
            <w:r>
              <w:rPr>
                <w:rFonts w:ascii="Calibri" w:cs="Calibri" w:eastAsia="Calibri" w:hAnsi="Calibri"/>
                <w:color w:val="101A2B"/>
                <w:sz w:val="20"/>
                <w:szCs w:val="20"/>
              </w:rPr>
              <w:t xml:space="preserve">property_area</w:t>
            </w:r>
          </w:p>
        </w:tc>
        <w:tc>
          <w:tcPr>
            <w:tcW w:type="dxa" w:w="1200"/>
            <w:tcMar>
              <w:top w:type="dxa" w:w="100"/>
              <w:left w:type="dxa" w:w="120"/>
              <w:bottom w:type="dxa" w:w="100"/>
              <w:right w:type="dxa" w:w="120"/>
            </w:tcMar>
          </w:tcPr>
          <w:p>
            <w:pPr>
              <w:spacing w:after="0"/>
            </w:pPr>
            <w:r>
              <w:rPr>
                <w:rFonts w:ascii="Calibri" w:cs="Calibri" w:eastAsia="Calibri" w:hAnsi="Calibri"/>
                <w:color w:val="101A2B"/>
                <w:sz w:val="20"/>
                <w:szCs w:val="20"/>
              </w:rPr>
              <w:t xml:space="preserve">string</w:t>
            </w:r>
          </w:p>
        </w:tc>
        <w:tc>
          <w:tcPr>
            <w:tcW w:type="dxa" w:w="1600"/>
            <w:tcMar>
              <w:top w:type="dxa" w:w="100"/>
              <w:left w:type="dxa" w:w="120"/>
              <w:bottom w:type="dxa" w:w="100"/>
              <w:right w:type="dxa" w:w="120"/>
            </w:tcMar>
          </w:tcPr>
          <w:p>
            <w:pPr>
              <w:spacing w:after="0"/>
            </w:pPr>
            <w:r>
              <w:rPr>
                <w:rFonts w:ascii="Calibri" w:cs="Calibri" w:eastAsia="Calibri" w:hAnsi="Calibri"/>
                <w:color w:val="101A2B"/>
                <w:sz w:val="20"/>
                <w:szCs w:val="20"/>
              </w:rPr>
              <w:t xml:space="preserve">Semiurban</w:t>
            </w:r>
          </w:p>
        </w:tc>
        <w:tc>
          <w:tcPr>
            <w:tcW w:type="dxa" w:w="4650"/>
            <w:tcMar>
              <w:top w:type="dxa" w:w="100"/>
              <w:left w:type="dxa" w:w="120"/>
              <w:bottom w:type="dxa" w:w="100"/>
              <w:right w:type="dxa" w:w="120"/>
            </w:tcMar>
          </w:tcPr>
          <w:p>
            <w:pPr>
              <w:spacing w:after="0"/>
            </w:pPr>
            <w:r>
              <w:rPr>
                <w:rFonts w:ascii="Calibri" w:cs="Calibri" w:eastAsia="Calibri" w:hAnsi="Calibri"/>
                <w:color w:val="101A2B"/>
                <w:sz w:val="20"/>
                <w:szCs w:val="20"/>
              </w:rPr>
              <w:t xml:space="preserve">"Urban", "Semiurban", or "Rural"</w:t>
            </w:r>
          </w:p>
        </w:tc>
      </w:tr>
    </w:tbl>
    <w:p>
      <w:pPr>
        <w:spacing w:after="100" w:before="200"/>
      </w:pPr>
      <w:r>
        <w:rPr>
          <w:rFonts w:ascii="Calibri" w:cs="Calibri" w:eastAsia="Calibri" w:hAnsi="Calibri"/>
          <w:b/>
          <w:bCs/>
          <w:color w:val="101A2B"/>
          <w:sz w:val="22"/>
          <w:szCs w:val="22"/>
        </w:rPr>
        <w:t xml:space="preserve">Server-side processing</w:t>
      </w:r>
    </w:p>
    <w:p>
      <w:pPr>
        <w:pStyle w:val="ListParagraph"/>
        <w:numPr>
          <w:ilvl w:val="0"/>
          <w:numId w:val="2"/>
        </w:numPr>
        <w:spacing w:after="80"/>
      </w:pPr>
      <w:r>
        <w:rPr>
          <w:rFonts w:ascii="Calibri" w:cs="Calibri" w:eastAsia="Calibri" w:hAnsi="Calibri"/>
          <w:color w:val="101A2B"/>
          <w:sz w:val="22"/>
          <w:szCs w:val="22"/>
        </w:rPr>
        <w:t xml:space="preserve">Categorical fields are label-encoded with the fitted encoders; an unseen category safely falls back to the encoder's first known class.</w:t>
      </w:r>
    </w:p>
    <w:p>
      <w:pPr>
        <w:pStyle w:val="ListParagraph"/>
        <w:numPr>
          <w:ilvl w:val="0"/>
          <w:numId w:val="2"/>
        </w:numPr>
        <w:spacing w:after="80"/>
      </w:pPr>
      <w:r>
        <w:rPr>
          <w:rFonts w:ascii="Calibri" w:cs="Calibri" w:eastAsia="Calibri" w:hAnsi="Calibri"/>
          <w:color w:val="101A2B"/>
          <w:sz w:val="22"/>
          <w:szCs w:val="22"/>
        </w:rPr>
        <w:t xml:space="preserve">Numeric fields are scaled with the fitted StandardScaler.</w:t>
      </w:r>
    </w:p>
    <w:p>
      <w:pPr>
        <w:pStyle w:val="ListParagraph"/>
        <w:numPr>
          <w:ilvl w:val="0"/>
          <w:numId w:val="2"/>
        </w:numPr>
        <w:spacing w:after="80"/>
      </w:pPr>
      <w:r>
        <w:rPr>
          <w:rFonts w:ascii="Calibri" w:cs="Calibri" w:eastAsia="Calibri" w:hAnsi="Calibri"/>
          <w:color w:val="101A2B"/>
          <w:sz w:val="22"/>
          <w:szCs w:val="22"/>
        </w:rPr>
        <w:t xml:space="preserve">The model predicts a class and, if supported, a probability used as the confidence percentage and to compute the gauge's needle angle and arc length.</w:t>
      </w:r>
    </w:p>
    <w:p>
      <w:pPr>
        <w:spacing w:after="100" w:before="200"/>
      </w:pPr>
      <w:r>
        <w:rPr>
          <w:rFonts w:ascii="Calibri" w:cs="Calibri" w:eastAsia="Calibri" w:hAnsi="Calibri"/>
          <w:b/>
          <w:bCs/>
          <w:color w:val="101A2B"/>
          <w:sz w:val="22"/>
          <w:szCs w:val="22"/>
        </w:rPr>
        <w:t xml:space="preserve">Example response (rendered fields)</w:t>
      </w:r>
    </w:p>
    <w:tbl>
      <w:tblPr>
        <w:tblW w:type="pct" w:w="100%"/>
        <w:tblBorders>
          <w:top w:val="single" w:color="DDD6C4" w:sz="4"/>
          <w:left w:val="single" w:color="DDD6C4" w:sz="4"/>
          <w:bottom w:val="single" w:color="DDD6C4" w:sz="4"/>
          <w:right w:val="single" w:color="DDD6C4" w:sz="4"/>
          <w:insideH w:val="none"/>
          <w:insideV w:val="none"/>
        </w:tblBorders>
      </w:tblPr>
      <w:tblGrid>
        <w:gridCol w:w="100"/>
      </w:tblGrid>
      <w:tr>
        <w:tc>
          <w:tcPr>
            <w:shd w:fill="F4F0E6" w:val="clear"/>
            <w:tcMar>
              <w:top w:type="dxa" w:w="160"/>
              <w:left w:type="dxa" w:w="200"/>
              <w:bottom w:type="dxa" w:w="160"/>
              <w:right w:type="dxa" w:w="200"/>
            </w:tcMar>
          </w:tcPr>
          <w:p>
            <w:pPr>
              <w:spacing w:after="40"/>
            </w:pPr>
            <w:r>
              <w:rPr>
                <w:rFonts w:ascii="Consolas" w:cs="Consolas" w:eastAsia="Consolas" w:hAnsi="Consolas"/>
                <w:color w:val="101A2B"/>
                <w:sz w:val="19"/>
                <w:szCs w:val="19"/>
              </w:rPr>
              <w:t xml:space="preserve">{</w:t>
            </w:r>
          </w:p>
          <w:p>
            <w:pPr>
              <w:spacing w:after="40"/>
            </w:pPr>
            <w:r>
              <w:rPr>
                <w:rFonts w:ascii="Consolas" w:cs="Consolas" w:eastAsia="Consolas" w:hAnsi="Consolas"/>
                <w:color w:val="101A2B"/>
                <w:sz w:val="19"/>
                <w:szCs w:val="19"/>
              </w:rPr>
              <w:t xml:space="preserve">  "approved": true,</w:t>
            </w:r>
          </w:p>
          <w:p>
            <w:pPr>
              <w:spacing w:after="40"/>
            </w:pPr>
            <w:r>
              <w:rPr>
                <w:rFonts w:ascii="Consolas" w:cs="Consolas" w:eastAsia="Consolas" w:hAnsi="Consolas"/>
                <w:color w:val="101A2B"/>
                <w:sz w:val="19"/>
                <w:szCs w:val="19"/>
              </w:rPr>
              <w:t xml:space="preserve">  "confidence": 87.4,</w:t>
            </w:r>
          </w:p>
          <w:p>
            <w:pPr>
              <w:spacing w:after="40"/>
            </w:pPr>
            <w:r>
              <w:rPr>
                <w:rFonts w:ascii="Consolas" w:cs="Consolas" w:eastAsia="Consolas" w:hAnsi="Consolas"/>
                <w:color w:val="101A2B"/>
                <w:sz w:val="19"/>
                <w:szCs w:val="19"/>
              </w:rPr>
              <w:t xml:space="preserve">  "applicant": { "Gender": "Male", "Married": "Yes", ... },</w:t>
            </w:r>
          </w:p>
          <w:p>
            <w:pPr>
              <w:spacing w:after="40"/>
            </w:pPr>
            <w:r>
              <w:rPr>
                <w:rFonts w:ascii="Consolas" w:cs="Consolas" w:eastAsia="Consolas" w:hAnsi="Consolas"/>
                <w:color w:val="101A2B"/>
                <w:sz w:val="19"/>
                <w:szCs w:val="19"/>
              </w:rPr>
              <w:t xml:space="preserve">  "needle_x": 148.2,</w:t>
            </w:r>
          </w:p>
          <w:p>
            <w:pPr>
              <w:spacing w:after="40"/>
            </w:pPr>
            <w:r>
              <w:rPr>
                <w:rFonts w:ascii="Consolas" w:cs="Consolas" w:eastAsia="Consolas" w:hAnsi="Consolas"/>
                <w:color w:val="101A2B"/>
                <w:sz w:val="19"/>
                <w:szCs w:val="19"/>
              </w:rPr>
              <w:t xml:space="preserve">  "needle_y": 52.6,</w:t>
            </w:r>
          </w:p>
          <w:p>
            <w:pPr>
              <w:spacing w:after="40"/>
            </w:pPr>
            <w:r>
              <w:rPr>
                <w:rFonts w:ascii="Consolas" w:cs="Consolas" w:eastAsia="Consolas" w:hAnsi="Consolas"/>
                <w:color w:val="101A2B"/>
                <w:sz w:val="19"/>
                <w:szCs w:val="19"/>
              </w:rPr>
              <w:t xml:space="preserve">  "arc_length": 233.5</w:t>
            </w:r>
          </w:p>
          <w:p>
            <w:pPr>
              <w:spacing w:after="40"/>
            </w:pPr>
            <w:r>
              <w:rPr>
                <w:rFonts w:ascii="Consolas" w:cs="Consolas" w:eastAsia="Consolas" w:hAnsi="Consolas"/>
                <w:color w:val="101A2B"/>
                <w:sz w:val="19"/>
                <w:szCs w:val="19"/>
              </w:rPr>
              <w:t xml:space="preserve">}</w:t>
            </w:r>
          </w:p>
        </w:tc>
      </w:tr>
    </w:tbl>
    <w:p>
      <w:pPr>
        <w:spacing w:after="160" w:line="300"/>
      </w:pPr>
      <w:r>
        <w:rPr>
          <w:rFonts w:ascii="Calibri" w:cs="Calibri" w:eastAsia="Calibri" w:hAnsi="Calibri"/>
          <w:color w:val="101A2B"/>
          <w:sz w:val="22"/>
          <w:szCs w:val="22"/>
        </w:rPr>
        <w:t xml:space="preserve">This structure is passed into result.html as the result context variable — the endpoint itself returns rendered HTML, not raw JSON.</w:t>
      </w:r>
    </w:p>
    <w:p>
      <w:pPr>
        <w:pStyle w:val="Heading1"/>
        <w:pBdr>
          <w:bottom w:val="single" w:color="2E7D6B" w:sz="6" w:space="4"/>
        </w:pBdr>
        <w:spacing w:after="200" w:before="400"/>
      </w:pPr>
      <w:r>
        <w:rPr>
          <w:rFonts w:ascii="Calibri" w:cs="Calibri" w:eastAsia="Calibri" w:hAnsi="Calibri"/>
          <w:b/>
          <w:bCs/>
          <w:color w:val="101A2B"/>
          <w:sz w:val="30"/>
          <w:szCs w:val="30"/>
        </w:rPr>
        <w:t xml:space="preserve">8. Authentication</w:t>
      </w:r>
    </w:p>
    <w:p>
      <w:pPr>
        <w:spacing w:after="160" w:line="300"/>
      </w:pPr>
      <w:r>
        <w:rPr>
          <w:rFonts w:ascii="Calibri" w:cs="Calibri" w:eastAsia="Calibri" w:hAnsi="Calibri"/>
          <w:color w:val="101A2B"/>
          <w:sz w:val="22"/>
          <w:szCs w:val="22"/>
        </w:rPr>
        <w:t xml:space="preserve">The current version of Smart Lender has no authentication or authorization layer — both routes are publicly accessible to anyone who can reach the deployed URL. This is appropriate for a bootcamp/demo deployment but not for a production underwriting tool handling real applicant data.</w:t>
      </w:r>
    </w:p>
    <w:p>
      <w:pPr>
        <w:spacing w:after="160" w:line="300"/>
      </w:pPr>
      <w:r>
        <w:rPr>
          <w:rFonts w:ascii="Calibri" w:cs="Calibri" w:eastAsia="Calibri" w:hAnsi="Calibri"/>
          <w:color w:val="101A2B"/>
          <w:sz w:val="22"/>
          <w:szCs w:val="22"/>
        </w:rPr>
        <w:t xml:space="preserve">For a production deployment, recommended additions include:</w:t>
      </w:r>
    </w:p>
    <w:p>
      <w:pPr>
        <w:pStyle w:val="ListParagraph"/>
        <w:numPr>
          <w:ilvl w:val="0"/>
          <w:numId w:val="2"/>
        </w:numPr>
        <w:spacing w:after="80"/>
      </w:pPr>
      <w:r>
        <w:rPr>
          <w:rFonts w:ascii="Calibri" w:cs="Calibri" w:eastAsia="Calibri" w:hAnsi="Calibri"/>
          <w:color w:val="101A2B"/>
          <w:sz w:val="22"/>
          <w:szCs w:val="22"/>
        </w:rPr>
        <w:t xml:space="preserve">Session-based or token-based login (e.g., Flask-Login or JWT) restricting /predict to authenticated credit officers.</w:t>
      </w:r>
    </w:p>
    <w:p>
      <w:pPr>
        <w:pStyle w:val="ListParagraph"/>
        <w:numPr>
          <w:ilvl w:val="0"/>
          <w:numId w:val="2"/>
        </w:numPr>
        <w:spacing w:after="80"/>
      </w:pPr>
      <w:r>
        <w:rPr>
          <w:rFonts w:ascii="Calibri" w:cs="Calibri" w:eastAsia="Calibri" w:hAnsi="Calibri"/>
          <w:color w:val="101A2B"/>
          <w:sz w:val="22"/>
          <w:szCs w:val="22"/>
        </w:rPr>
        <w:t xml:space="preserve">Role-based access control distinguishing analysts (can evaluate) from administrators (can retrain/redeploy models).</w:t>
      </w:r>
    </w:p>
    <w:p>
      <w:pPr>
        <w:pStyle w:val="ListParagraph"/>
        <w:numPr>
          <w:ilvl w:val="0"/>
          <w:numId w:val="2"/>
        </w:numPr>
        <w:spacing w:after="80"/>
      </w:pPr>
      <w:r>
        <w:rPr>
          <w:rFonts w:ascii="Calibri" w:cs="Calibri" w:eastAsia="Calibri" w:hAnsi="Calibri"/>
          <w:color w:val="101A2B"/>
          <w:sz w:val="22"/>
          <w:szCs w:val="22"/>
        </w:rPr>
        <w:t xml:space="preserve">HTTPS termination and CSRF protection on the form (e.g., Flask-WTF) since the app currently posts a plain HTML form.</w:t>
      </w:r>
    </w:p>
    <w:p>
      <w:pPr>
        <w:pStyle w:val="Heading1"/>
        <w:pBdr>
          <w:bottom w:val="single" w:color="2E7D6B" w:sz="6" w:space="4"/>
        </w:pBdr>
        <w:spacing w:after="200" w:before="400"/>
      </w:pPr>
      <w:r>
        <w:rPr>
          <w:rFonts w:ascii="Calibri" w:cs="Calibri" w:eastAsia="Calibri" w:hAnsi="Calibri"/>
          <w:b/>
          <w:bCs/>
          <w:color w:val="101A2B"/>
          <w:sz w:val="30"/>
          <w:szCs w:val="30"/>
        </w:rPr>
        <w:t xml:space="preserve">9. User Interface</w:t>
      </w:r>
    </w:p>
    <w:p>
      <w:pPr>
        <w:spacing w:after="160" w:line="300"/>
      </w:pPr>
      <w:r>
        <w:rPr>
          <w:rFonts w:ascii="Calibri" w:cs="Calibri" w:eastAsia="Calibri" w:hAnsi="Calibri"/>
          <w:color w:val="101A2B"/>
          <w:sz w:val="22"/>
          <w:szCs w:val="22"/>
        </w:rPr>
        <w:t xml:space="preserve">Captured from the live deployment at smartlender-kjgl.onrender.com.</w:t>
      </w:r>
    </w:p>
    <w:p>
      <w:pPr>
        <w:pStyle w:val="Heading2"/>
        <w:spacing w:after="140" w:before="280"/>
      </w:pPr>
      <w:r>
        <w:rPr>
          <w:rFonts w:ascii="Calibri" w:cs="Calibri" w:eastAsia="Calibri" w:hAnsi="Calibri"/>
          <w:b/>
          <w:bCs/>
          <w:color w:val="2E7D6B"/>
          <w:sz w:val="24"/>
          <w:szCs w:val="24"/>
        </w:rPr>
        <w:t xml:space="preserve">Applicant Intake Form</w:t>
      </w:r>
    </w:p>
    <w:p>
      <w:pPr>
        <w:spacing w:after="160" w:line="300"/>
      </w:pPr>
      <w:r>
        <w:rPr>
          <w:rFonts w:ascii="Calibri" w:cs="Calibri" w:eastAsia="Calibri" w:hAnsi="Calibri"/>
          <w:color w:val="101A2B"/>
          <w:sz w:val="22"/>
          <w:szCs w:val="22"/>
        </w:rPr>
        <w:t xml:space="preserve">The landing page presents a two-section form — "Applicant Profile" and "Income &amp; Loan Terms" — styled as an underwriting ledger.</w:t>
      </w:r>
    </w:p>
    <w:p>
      <w:pPr>
        <w:spacing w:after="200" w:before="120"/>
        <w:jc w:val="center"/>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479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2 — Loan applicant evaluation form, live at smartlender-kjgl.onrender.com (GET /).</w:t>
      </w:r>
    </w:p>
    <w:p>
      <w:pPr>
        <w:pStyle w:val="Heading2"/>
        <w:spacing w:after="140" w:before="280"/>
      </w:pPr>
      <w:r>
        <w:rPr>
          <w:rFonts w:ascii="Calibri" w:cs="Calibri" w:eastAsia="Calibri" w:hAnsi="Calibri"/>
          <w:b/>
          <w:bCs/>
          <w:color w:val="2E7D6B"/>
          <w:sz w:val="24"/>
          <w:szCs w:val="24"/>
        </w:rPr>
        <w:t xml:space="preserve">Evaluation Result — Approved</w:t>
      </w:r>
    </w:p>
    <w:p>
      <w:pPr>
        <w:spacing w:after="160" w:line="300"/>
      </w:pPr>
      <w:r>
        <w:rPr>
          <w:rFonts w:ascii="Calibri" w:cs="Calibri" w:eastAsia="Calibri" w:hAnsi="Calibri"/>
          <w:color w:val="101A2B"/>
          <w:sz w:val="22"/>
          <w:szCs w:val="22"/>
        </w:rPr>
        <w:t xml:space="preserve">On submission, the applicant is scored and shown an SVG confidence gauge alongside the verdict and a recap of the submitted values.</w:t>
      </w:r>
    </w:p>
    <w:p>
      <w:pPr>
        <w:spacing w:after="200" w:before="120"/>
        <w:jc w:val="center"/>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479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3 — Approved outcome (87.0% confidence) on the live deployment (POST /predict).</w:t>
      </w:r>
    </w:p>
    <w:p>
      <w:pPr>
        <w:pStyle w:val="Heading1"/>
        <w:pBdr>
          <w:bottom w:val="single" w:color="2E7D6B" w:sz="6" w:space="4"/>
        </w:pBdr>
        <w:spacing w:after="200" w:before="400"/>
      </w:pPr>
      <w:r>
        <w:rPr>
          <w:rFonts w:ascii="Calibri" w:cs="Calibri" w:eastAsia="Calibri" w:hAnsi="Calibri"/>
          <w:b/>
          <w:bCs/>
          <w:color w:val="101A2B"/>
          <w:sz w:val="30"/>
          <w:szCs w:val="30"/>
        </w:rPr>
        <w:t xml:space="preserve">10. Testing</w:t>
      </w:r>
    </w:p>
    <w:p>
      <w:pPr>
        <w:pStyle w:val="Heading2"/>
        <w:spacing w:after="140" w:before="280"/>
      </w:pPr>
      <w:r>
        <w:rPr>
          <w:rFonts w:ascii="Calibri" w:cs="Calibri" w:eastAsia="Calibri" w:hAnsi="Calibri"/>
          <w:b/>
          <w:bCs/>
          <w:color w:val="2E7D6B"/>
          <w:sz w:val="24"/>
          <w:szCs w:val="24"/>
        </w:rPr>
        <w:t xml:space="preserve">Model Evaluation Strategy</w:t>
      </w:r>
    </w:p>
    <w:p>
      <w:pPr>
        <w:spacing w:after="160" w:line="300"/>
      </w:pPr>
      <w:r>
        <w:rPr>
          <w:rFonts w:ascii="Calibri" w:cs="Calibri" w:eastAsia="Calibri" w:hAnsi="Calibri"/>
          <w:color w:val="101A2B"/>
          <w:sz w:val="22"/>
          <w:szCs w:val="22"/>
        </w:rPr>
        <w:t xml:space="preserve">train_model.py performs a stratified 78/22 train-test split (random_state=42) and reports train and test accuracy for all four candidate models, persisting the comparison to model/model_comparison.json so results are reproducible and auditable.</w:t>
      </w:r>
    </w:p>
    <w:p>
      <w:pPr>
        <w:pStyle w:val="Heading2"/>
        <w:spacing w:after="140" w:before="280"/>
      </w:pPr>
      <w:r>
        <w:rPr>
          <w:rFonts w:ascii="Calibri" w:cs="Calibri" w:eastAsia="Calibri" w:hAnsi="Calibri"/>
          <w:b/>
          <w:bCs/>
          <w:color w:val="2E7D6B"/>
          <w:sz w:val="24"/>
          <w:szCs w:val="24"/>
        </w:rPr>
        <w:t xml:space="preserve">Model Comparison Results</w:t>
      </w:r>
    </w:p>
    <w:p>
      <w:pPr>
        <w:spacing w:after="160" w:line="300"/>
      </w:pPr>
      <w:r>
        <w:rPr>
          <w:rFonts w:ascii="Calibri" w:cs="Calibri" w:eastAsia="Calibri" w:hAnsi="Calibri"/>
          <w:color w:val="101A2B"/>
          <w:sz w:val="22"/>
          <w:szCs w:val="22"/>
        </w:rPr>
        <w:t xml:space="preserve">Latest run against the bundled synthetic dataset (data/generate_data.py, seed 42):</w:t>
      </w:r>
    </w:p>
    <w:tbl>
      <w:tblPr>
        <w:tblW w:type="dxa" w:w="9350"/>
        <w:tblBorders>
          <w:top w:val="single" w:color="DDD6C4" w:sz="4"/>
          <w:left w:val="single" w:color="DDD6C4" w:sz="4"/>
          <w:bottom w:val="single" w:color="DDD6C4" w:sz="4"/>
          <w:right w:val="single" w:color="DDD6C4" w:sz="4"/>
          <w:insideH w:val="single" w:color="DDD6C4" w:sz="4"/>
          <w:insideV w:val="single" w:color="DDD6C4" w:sz="4"/>
        </w:tblBorders>
      </w:tblPr>
      <w:tblGrid>
        <w:gridCol w:w="3400"/>
        <w:gridCol w:w="2975"/>
        <w:gridCol w:w="2975"/>
      </w:tblGrid>
      <w:tr>
        <w:trPr>
          <w:tblHeader/>
        </w:trPr>
        <w:tc>
          <w:tcPr>
            <w:tcW w:type="dxa" w:w="3400"/>
            <w:shd w:fill="101A2B"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Model</w:t>
            </w:r>
          </w:p>
        </w:tc>
        <w:tc>
          <w:tcPr>
            <w:tcW w:type="dxa" w:w="2975"/>
            <w:shd w:fill="101A2B"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Train Accuracy</w:t>
            </w:r>
          </w:p>
        </w:tc>
        <w:tc>
          <w:tcPr>
            <w:tcW w:type="dxa" w:w="2975"/>
            <w:shd w:fill="101A2B"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Test Accuracy</w:t>
            </w:r>
          </w:p>
        </w:tc>
      </w:tr>
      <w:tr>
        <w:tc>
          <w:tcPr>
            <w:tcW w:type="dxa" w:w="3400"/>
            <w:tcMar>
              <w:top w:type="dxa" w:w="100"/>
              <w:left w:type="dxa" w:w="120"/>
              <w:bottom w:type="dxa" w:w="100"/>
              <w:right w:type="dxa" w:w="120"/>
            </w:tcMar>
          </w:tcPr>
          <w:p>
            <w:pPr>
              <w:spacing w:after="0"/>
            </w:pPr>
            <w:r>
              <w:rPr>
                <w:rFonts w:ascii="Calibri" w:cs="Calibri" w:eastAsia="Calibri" w:hAnsi="Calibri"/>
                <w:color w:val="101A2B"/>
                <w:sz w:val="20"/>
                <w:szCs w:val="20"/>
              </w:rPr>
              <w:t xml:space="preserve">Decision Tree</w:t>
            </w:r>
          </w:p>
        </w:tc>
        <w:tc>
          <w:tcPr>
            <w:tcW w:type="dxa" w:w="2975"/>
            <w:tcMar>
              <w:top w:type="dxa" w:w="100"/>
              <w:left w:type="dxa" w:w="120"/>
              <w:bottom w:type="dxa" w:w="100"/>
              <w:right w:type="dxa" w:w="120"/>
            </w:tcMar>
          </w:tcPr>
          <w:p>
            <w:pPr>
              <w:spacing w:after="0"/>
            </w:pPr>
            <w:r>
              <w:rPr>
                <w:rFonts w:ascii="Calibri" w:cs="Calibri" w:eastAsia="Calibri" w:hAnsi="Calibri"/>
                <w:color w:val="101A2B"/>
                <w:sz w:val="20"/>
                <w:szCs w:val="20"/>
              </w:rPr>
              <w:t xml:space="preserve">78.03%</w:t>
            </w:r>
          </w:p>
        </w:tc>
        <w:tc>
          <w:tcPr>
            <w:tcW w:type="dxa" w:w="2975"/>
            <w:tcMar>
              <w:top w:type="dxa" w:w="100"/>
              <w:left w:type="dxa" w:w="120"/>
              <w:bottom w:type="dxa" w:w="100"/>
              <w:right w:type="dxa" w:w="120"/>
            </w:tcMar>
          </w:tcPr>
          <w:p>
            <w:pPr>
              <w:spacing w:after="0"/>
            </w:pPr>
            <w:r>
              <w:rPr>
                <w:rFonts w:ascii="Calibri" w:cs="Calibri" w:eastAsia="Calibri" w:hAnsi="Calibri"/>
                <w:color w:val="101A2B"/>
                <w:sz w:val="20"/>
                <w:szCs w:val="20"/>
              </w:rPr>
              <w:t xml:space="preserve">74.26%</w:t>
            </w:r>
          </w:p>
        </w:tc>
      </w:tr>
      <w:tr>
        <w:tc>
          <w:tcPr>
            <w:tcW w:type="dxa" w:w="3400"/>
            <w:tcMar>
              <w:top w:type="dxa" w:w="100"/>
              <w:left w:type="dxa" w:w="120"/>
              <w:bottom w:type="dxa" w:w="100"/>
              <w:right w:type="dxa" w:w="120"/>
            </w:tcMar>
          </w:tcPr>
          <w:p>
            <w:pPr>
              <w:spacing w:after="0"/>
            </w:pPr>
            <w:r>
              <w:rPr>
                <w:rFonts w:ascii="Calibri" w:cs="Calibri" w:eastAsia="Calibri" w:hAnsi="Calibri"/>
                <w:color w:val="101A2B"/>
                <w:sz w:val="20"/>
                <w:szCs w:val="20"/>
              </w:rPr>
              <w:t xml:space="preserve">Random Forest</w:t>
            </w:r>
          </w:p>
        </w:tc>
        <w:tc>
          <w:tcPr>
            <w:tcW w:type="dxa" w:w="2975"/>
            <w:tcMar>
              <w:top w:type="dxa" w:w="100"/>
              <w:left w:type="dxa" w:w="120"/>
              <w:bottom w:type="dxa" w:w="100"/>
              <w:right w:type="dxa" w:w="120"/>
            </w:tcMar>
          </w:tcPr>
          <w:p>
            <w:pPr>
              <w:spacing w:after="0"/>
            </w:pPr>
            <w:r>
              <w:rPr>
                <w:rFonts w:ascii="Calibri" w:cs="Calibri" w:eastAsia="Calibri" w:hAnsi="Calibri"/>
                <w:color w:val="101A2B"/>
                <w:sz w:val="20"/>
                <w:szCs w:val="20"/>
              </w:rPr>
              <w:t xml:space="preserve">85.56%</w:t>
            </w:r>
          </w:p>
        </w:tc>
        <w:tc>
          <w:tcPr>
            <w:tcW w:type="dxa" w:w="2975"/>
            <w:tcMar>
              <w:top w:type="dxa" w:w="100"/>
              <w:left w:type="dxa" w:w="120"/>
              <w:bottom w:type="dxa" w:w="100"/>
              <w:right w:type="dxa" w:w="120"/>
            </w:tcMar>
          </w:tcPr>
          <w:p>
            <w:pPr>
              <w:spacing w:after="0"/>
            </w:pPr>
            <w:r>
              <w:rPr>
                <w:rFonts w:ascii="Calibri" w:cs="Calibri" w:eastAsia="Calibri" w:hAnsi="Calibri"/>
                <w:color w:val="101A2B"/>
                <w:sz w:val="20"/>
                <w:szCs w:val="20"/>
              </w:rPr>
              <w:t xml:space="preserve">73.53%</w:t>
            </w:r>
          </w:p>
        </w:tc>
      </w:tr>
      <w:tr>
        <w:tc>
          <w:tcPr>
            <w:tcW w:type="dxa" w:w="3400"/>
            <w:tcMar>
              <w:top w:type="dxa" w:w="100"/>
              <w:left w:type="dxa" w:w="120"/>
              <w:bottom w:type="dxa" w:w="100"/>
              <w:right w:type="dxa" w:w="120"/>
            </w:tcMar>
          </w:tcPr>
          <w:p>
            <w:pPr>
              <w:spacing w:after="0"/>
            </w:pPr>
            <w:r>
              <w:rPr>
                <w:rFonts w:ascii="Calibri" w:cs="Calibri" w:eastAsia="Calibri" w:hAnsi="Calibri"/>
                <w:color w:val="101A2B"/>
                <w:sz w:val="20"/>
                <w:szCs w:val="20"/>
              </w:rPr>
              <w:t xml:space="preserve">K-Nearest Neighbors</w:t>
            </w:r>
          </w:p>
        </w:tc>
        <w:tc>
          <w:tcPr>
            <w:tcW w:type="dxa" w:w="2975"/>
            <w:tcMar>
              <w:top w:type="dxa" w:w="100"/>
              <w:left w:type="dxa" w:w="120"/>
              <w:bottom w:type="dxa" w:w="100"/>
              <w:right w:type="dxa" w:w="120"/>
            </w:tcMar>
          </w:tcPr>
          <w:p>
            <w:pPr>
              <w:spacing w:after="0"/>
            </w:pPr>
            <w:r>
              <w:rPr>
                <w:rFonts w:ascii="Calibri" w:cs="Calibri" w:eastAsia="Calibri" w:hAnsi="Calibri"/>
                <w:color w:val="101A2B"/>
                <w:sz w:val="20"/>
                <w:szCs w:val="20"/>
              </w:rPr>
              <w:t xml:space="preserve">75.52%</w:t>
            </w:r>
          </w:p>
        </w:tc>
        <w:tc>
          <w:tcPr>
            <w:tcW w:type="dxa" w:w="2975"/>
            <w:tcMar>
              <w:top w:type="dxa" w:w="100"/>
              <w:left w:type="dxa" w:w="120"/>
              <w:bottom w:type="dxa" w:w="100"/>
              <w:right w:type="dxa" w:w="120"/>
            </w:tcMar>
          </w:tcPr>
          <w:p>
            <w:pPr>
              <w:spacing w:after="0"/>
            </w:pPr>
            <w:r>
              <w:rPr>
                <w:rFonts w:ascii="Calibri" w:cs="Calibri" w:eastAsia="Calibri" w:hAnsi="Calibri"/>
                <w:color w:val="101A2B"/>
                <w:sz w:val="20"/>
                <w:szCs w:val="20"/>
              </w:rPr>
              <w:t xml:space="preserve">71.32%</w:t>
            </w:r>
          </w:p>
        </w:tc>
      </w:tr>
      <w:tr>
        <w:tc>
          <w:tcPr>
            <w:tcW w:type="dxa" w:w="3400"/>
            <w:tcMar>
              <w:top w:type="dxa" w:w="100"/>
              <w:left w:type="dxa" w:w="120"/>
              <w:bottom w:type="dxa" w:w="100"/>
              <w:right w:type="dxa" w:w="120"/>
            </w:tcMar>
          </w:tcPr>
          <w:p>
            <w:pPr>
              <w:spacing w:after="0"/>
            </w:pPr>
            <w:r>
              <w:rPr>
                <w:rFonts w:ascii="Calibri" w:cs="Calibri" w:eastAsia="Calibri" w:hAnsi="Calibri"/>
                <w:color w:val="101A2B"/>
                <w:sz w:val="20"/>
                <w:szCs w:val="20"/>
              </w:rPr>
              <w:t xml:space="preserve">XGBoost / GradientBoosting fallback</w:t>
            </w:r>
          </w:p>
        </w:tc>
        <w:tc>
          <w:tcPr>
            <w:tcW w:type="dxa" w:w="2975"/>
            <w:tcMar>
              <w:top w:type="dxa" w:w="100"/>
              <w:left w:type="dxa" w:w="120"/>
              <w:bottom w:type="dxa" w:w="100"/>
              <w:right w:type="dxa" w:w="120"/>
            </w:tcMar>
          </w:tcPr>
          <w:p>
            <w:pPr>
              <w:spacing w:after="0"/>
            </w:pPr>
            <w:r>
              <w:rPr>
                <w:rFonts w:ascii="Calibri" w:cs="Calibri" w:eastAsia="Calibri" w:hAnsi="Calibri"/>
                <w:color w:val="101A2B"/>
                <w:sz w:val="20"/>
                <w:szCs w:val="20"/>
              </w:rPr>
              <w:t xml:space="preserve">82.85%</w:t>
            </w:r>
          </w:p>
        </w:tc>
        <w:tc>
          <w:tcPr>
            <w:tcW w:type="dxa" w:w="2975"/>
            <w:tcMar>
              <w:top w:type="dxa" w:w="100"/>
              <w:left w:type="dxa" w:w="120"/>
              <w:bottom w:type="dxa" w:w="100"/>
              <w:right w:type="dxa" w:w="120"/>
            </w:tcMar>
          </w:tcPr>
          <w:p>
            <w:pPr>
              <w:spacing w:after="0"/>
            </w:pPr>
            <w:r>
              <w:rPr>
                <w:rFonts w:ascii="Calibri" w:cs="Calibri" w:eastAsia="Calibri" w:hAnsi="Calibri"/>
                <w:color w:val="101A2B"/>
                <w:sz w:val="20"/>
                <w:szCs w:val="20"/>
              </w:rPr>
              <w:t xml:space="preserve">73.53%</w:t>
            </w:r>
          </w:p>
        </w:tc>
      </w:tr>
    </w:tbl>
    <w:p>
      <w:pPr>
        <w:spacing w:after="160" w:line="300"/>
      </w:pPr>
      <w:r>
        <w:rPr>
          <w:rFonts w:ascii="Calibri" w:cs="Calibri" w:eastAsia="Calibri" w:hAnsi="Calibri"/>
          <w:color w:val="101A2B"/>
          <w:sz w:val="22"/>
          <w:szCs w:val="22"/>
        </w:rPr>
        <w:t xml:space="preserve">Decision Tree was selected as the best performer on this run (highest test accuracy). Because the bundled dataset is synthetic, exact figures will vary between environments and are expected to differ (directionally similarly) from a real historical loan dataset.</w:t>
      </w:r>
    </w:p>
    <w:p>
      <w:pPr>
        <w:pStyle w:val="Heading2"/>
        <w:spacing w:after="140" w:before="280"/>
      </w:pPr>
      <w:r>
        <w:rPr>
          <w:rFonts w:ascii="Calibri" w:cs="Calibri" w:eastAsia="Calibri" w:hAnsi="Calibri"/>
          <w:b/>
          <w:bCs/>
          <w:color w:val="2E7D6B"/>
          <w:sz w:val="24"/>
          <w:szCs w:val="24"/>
        </w:rPr>
        <w:t xml:space="preserve">Manual / Functional Testing</w:t>
      </w:r>
    </w:p>
    <w:p>
      <w:pPr>
        <w:pStyle w:val="ListParagraph"/>
        <w:numPr>
          <w:ilvl w:val="0"/>
          <w:numId w:val="2"/>
        </w:numPr>
        <w:spacing w:after="80"/>
      </w:pPr>
      <w:r>
        <w:rPr>
          <w:rFonts w:ascii="Calibri" w:cs="Calibri" w:eastAsia="Calibri" w:hAnsi="Calibri"/>
          <w:color w:val="101A2B"/>
          <w:sz w:val="22"/>
          <w:szCs w:val="22"/>
        </w:rPr>
        <w:t xml:space="preserve">Form validation: all fields are marked required in index.html; the browser blocks submission until they are filled.</w:t>
      </w:r>
    </w:p>
    <w:p>
      <w:pPr>
        <w:pStyle w:val="ListParagraph"/>
        <w:numPr>
          <w:ilvl w:val="0"/>
          <w:numId w:val="2"/>
        </w:numPr>
        <w:spacing w:after="80"/>
      </w:pPr>
      <w:r>
        <w:rPr>
          <w:rFonts w:ascii="Calibri" w:cs="Calibri" w:eastAsia="Calibri" w:hAnsi="Calibri"/>
          <w:color w:val="101A2B"/>
          <w:sz w:val="22"/>
          <w:szCs w:val="22"/>
        </w:rPr>
        <w:t xml:space="preserve">Boundary cases exercised manually: zero co-applicant income, minimum/maximum loan amounts, each Property_Area and Education value, and both credit-history states.</w:t>
      </w:r>
    </w:p>
    <w:p>
      <w:pPr>
        <w:pStyle w:val="ListParagraph"/>
        <w:numPr>
          <w:ilvl w:val="0"/>
          <w:numId w:val="2"/>
        </w:numPr>
        <w:spacing w:after="80"/>
      </w:pPr>
      <w:r>
        <w:rPr>
          <w:rFonts w:ascii="Calibri" w:cs="Calibri" w:eastAsia="Calibri" w:hAnsi="Calibri"/>
          <w:color w:val="101A2B"/>
          <w:sz w:val="22"/>
          <w:szCs w:val="22"/>
        </w:rPr>
        <w:t xml:space="preserve">Unseen-category handling: /predict falls back to each encoder's first known class rather than raising an error if an unexpected categorical value is posted.</w:t>
      </w:r>
    </w:p>
    <w:p>
      <w:pPr>
        <w:pStyle w:val="ListParagraph"/>
        <w:numPr>
          <w:ilvl w:val="0"/>
          <w:numId w:val="2"/>
        </w:numPr>
        <w:spacing w:after="80"/>
      </w:pPr>
      <w:r>
        <w:rPr>
          <w:rFonts w:ascii="Calibri" w:cs="Calibri" w:eastAsia="Calibri" w:hAnsi="Calibri"/>
          <w:color w:val="101A2B"/>
          <w:sz w:val="22"/>
          <w:szCs w:val="22"/>
        </w:rPr>
        <w:t xml:space="preserve">End-to-end smoke test: submit the form for a strong applicant profile (good credit history, graduate, salaried) and confirm the verdict and gauge reflect it — as shown in Figure 3, captured from the live deployment.</w:t>
      </w:r>
    </w:p>
    <w:p>
      <w:pPr>
        <w:pStyle w:val="Heading2"/>
        <w:spacing w:after="140" w:before="280"/>
      </w:pPr>
      <w:r>
        <w:rPr>
          <w:rFonts w:ascii="Calibri" w:cs="Calibri" w:eastAsia="Calibri" w:hAnsi="Calibri"/>
          <w:b/>
          <w:bCs/>
          <w:color w:val="2E7D6B"/>
          <w:sz w:val="24"/>
          <w:szCs w:val="24"/>
        </w:rPr>
        <w:t xml:space="preserve">Not Yet Covered</w:t>
      </w:r>
    </w:p>
    <w:p>
      <w:pPr>
        <w:pStyle w:val="ListParagraph"/>
        <w:numPr>
          <w:ilvl w:val="0"/>
          <w:numId w:val="2"/>
        </w:numPr>
        <w:spacing w:after="80"/>
      </w:pPr>
      <w:r>
        <w:rPr>
          <w:rFonts w:ascii="Calibri" w:cs="Calibri" w:eastAsia="Calibri" w:hAnsi="Calibri"/>
          <w:color w:val="101A2B"/>
          <w:sz w:val="22"/>
          <w:szCs w:val="22"/>
        </w:rPr>
        <w:t xml:space="preserve">No automated unit or integration test suite (e.g., pytest) is included in this submission.</w:t>
      </w:r>
    </w:p>
    <w:p>
      <w:pPr>
        <w:pStyle w:val="ListParagraph"/>
        <w:numPr>
          <w:ilvl w:val="0"/>
          <w:numId w:val="2"/>
        </w:numPr>
        <w:spacing w:after="80"/>
      </w:pPr>
      <w:r>
        <w:rPr>
          <w:rFonts w:ascii="Calibri" w:cs="Calibri" w:eastAsia="Calibri" w:hAnsi="Calibri"/>
          <w:color w:val="101A2B"/>
          <w:sz w:val="22"/>
          <w:szCs w:val="22"/>
        </w:rPr>
        <w:t xml:space="preserve">No load/performance testing has been performed.</w:t>
      </w:r>
    </w:p>
    <w:p>
      <w:pPr>
        <w:pStyle w:val="Heading1"/>
        <w:pBdr>
          <w:bottom w:val="single" w:color="2E7D6B" w:sz="6" w:space="4"/>
        </w:pBdr>
        <w:spacing w:after="200" w:before="400"/>
      </w:pPr>
      <w:r>
        <w:rPr>
          <w:rFonts w:ascii="Calibri" w:cs="Calibri" w:eastAsia="Calibri" w:hAnsi="Calibri"/>
          <w:b/>
          <w:bCs/>
          <w:color w:val="101A2B"/>
          <w:sz w:val="30"/>
          <w:szCs w:val="30"/>
        </w:rPr>
        <w:t xml:space="preserve">11. Screenshots or Demo</w:t>
      </w:r>
    </w:p>
    <w:p>
      <w:pPr>
        <w:spacing w:after="160" w:line="300"/>
      </w:pPr>
      <w:r>
        <w:rPr>
          <w:rFonts w:ascii="Calibri" w:cs="Calibri" w:eastAsia="Calibri" w:hAnsi="Calibri"/>
          <w:color w:val="101A2B"/>
          <w:sz w:val="22"/>
          <w:szCs w:val="22"/>
        </w:rPr>
        <w:t xml:space="preserve">See Section 9 (User Interface) for the intake form and both result states. The end-to-end model training pipeline that produces the artifacts behind those screens is summarized below.</w:t>
      </w:r>
    </w:p>
    <w:p>
      <w:pPr>
        <w:spacing w:after="200" w:before="120"/>
        <w:jc w:val="center"/>
      </w:pPr>
      <w:r>
        <w:drawing>
          <wp:inline distT="0" distB="0" distL="0" distR="0">
            <wp:extent cx="5334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2382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4 — Data-to-deployment pipeline executed by train_model.py.</w:t>
      </w:r>
    </w:p>
    <w:p>
      <w:pPr>
        <w:spacing w:after="160" w:line="300"/>
      </w:pPr>
      <w:r>
        <w:rPr>
          <w:rFonts w:ascii="Calibri" w:cs="Calibri" w:eastAsia="Calibri" w:hAnsi="Calibri"/>
          <w:color w:val="2E7D6B"/>
          <w:sz w:val="22"/>
          <w:szCs w:val="22"/>
        </w:rPr>
        <w:t xml:space="preserve">Live demo: https://smartlender-kjgl.onrender.com/</w:t>
      </w:r>
    </w:p>
    <w:p>
      <w:pPr>
        <w:spacing w:after="160" w:line="300"/>
      </w:pPr>
      <w:r>
        <w:rPr>
          <w:rFonts w:ascii="Calibri" w:cs="Calibri" w:eastAsia="Calibri" w:hAnsi="Calibri"/>
          <w:color w:val="2E7D6B"/>
          <w:sz w:val="22"/>
          <w:szCs w:val="22"/>
        </w:rPr>
        <w:t xml:space="preserve">Source code: https://github.com/thalathotihepsiba/SmartLender</w:t>
      </w:r>
    </w:p>
    <w:p>
      <w:pPr>
        <w:spacing w:after="160" w:line="300"/>
      </w:pPr>
      <w:r>
        <w:rPr>
          <w:rFonts w:ascii="Calibri" w:cs="Calibri" w:eastAsia="Calibri" w:hAnsi="Calibri"/>
          <w:color w:val="101A2B"/>
          <w:sz w:val="22"/>
          <w:szCs w:val="22"/>
        </w:rPr>
        <w:t xml:space="preserve">The app is deployed on Render; it can also be run locally by following Section 6, or deployed to IBM Cloud Foundry / Code Engine as described in README.md.</w:t>
      </w:r>
    </w:p>
    <w:p>
      <w:pPr>
        <w:pStyle w:val="Heading1"/>
        <w:pBdr>
          <w:bottom w:val="single" w:color="2E7D6B" w:sz="6" w:space="4"/>
        </w:pBdr>
        <w:spacing w:after="200" w:before="400"/>
      </w:pPr>
      <w:r>
        <w:rPr>
          <w:rFonts w:ascii="Calibri" w:cs="Calibri" w:eastAsia="Calibri" w:hAnsi="Calibri"/>
          <w:b/>
          <w:bCs/>
          <w:color w:val="101A2B"/>
          <w:sz w:val="30"/>
          <w:szCs w:val="30"/>
        </w:rPr>
        <w:t xml:space="preserve">12. Known Issues</w:t>
      </w:r>
    </w:p>
    <w:p>
      <w:pPr>
        <w:pStyle w:val="ListParagraph"/>
        <w:numPr>
          <w:ilvl w:val="0"/>
          <w:numId w:val="2"/>
        </w:numPr>
        <w:spacing w:after="80"/>
      </w:pPr>
      <w:r>
        <w:rPr>
          <w:rFonts w:ascii="Calibri" w:cs="Calibri" w:eastAsia="Calibri" w:hAnsi="Calibri"/>
          <w:color w:val="101A2B"/>
          <w:sz w:val="22"/>
          <w:szCs w:val="22"/>
        </w:rPr>
        <w:t xml:space="preserve">The bundled dataset (data/loan_data.csv) is synthetically generated for demonstration; accuracy numbers will shift when trained on real historical loan data.</w:t>
      </w:r>
    </w:p>
    <w:p>
      <w:pPr>
        <w:pStyle w:val="ListParagraph"/>
        <w:numPr>
          <w:ilvl w:val="0"/>
          <w:numId w:val="2"/>
        </w:numPr>
        <w:spacing w:after="80"/>
      </w:pPr>
      <w:r>
        <w:rPr>
          <w:rFonts w:ascii="Calibri" w:cs="Calibri" w:eastAsia="Calibri" w:hAnsi="Calibri"/>
          <w:color w:val="101A2B"/>
          <w:sz w:val="22"/>
          <w:szCs w:val="22"/>
        </w:rPr>
        <w:t xml:space="preserve">Test accuracy across all four models is modest (71–74%), and Random Forest / XGBoost show a noticeably larger train/test gap, indicating some overfitting on the small (614-row) dataset.</w:t>
      </w:r>
    </w:p>
    <w:p>
      <w:pPr>
        <w:pStyle w:val="ListParagraph"/>
        <w:numPr>
          <w:ilvl w:val="0"/>
          <w:numId w:val="2"/>
        </w:numPr>
        <w:spacing w:after="80"/>
      </w:pPr>
      <w:r>
        <w:rPr>
          <w:rFonts w:ascii="Calibri" w:cs="Calibri" w:eastAsia="Calibri" w:hAnsi="Calibri"/>
          <w:color w:val="101A2B"/>
          <w:sz w:val="22"/>
          <w:szCs w:val="22"/>
        </w:rPr>
        <w:t xml:space="preserve">If the xgboost package fails to install, the pipeline silently substitutes GradientBoostingClassifier — functionally fine, but the "XGBoost" label in model_comparison.json can be misleading if not read closely.</w:t>
      </w:r>
    </w:p>
    <w:p>
      <w:pPr>
        <w:pStyle w:val="ListParagraph"/>
        <w:numPr>
          <w:ilvl w:val="0"/>
          <w:numId w:val="2"/>
        </w:numPr>
        <w:spacing w:after="80"/>
      </w:pPr>
      <w:r>
        <w:rPr>
          <w:rFonts w:ascii="Calibri" w:cs="Calibri" w:eastAsia="Calibri" w:hAnsi="Calibri"/>
          <w:color w:val="101A2B"/>
          <w:sz w:val="22"/>
          <w:szCs w:val="22"/>
        </w:rPr>
        <w:t xml:space="preserve">No authentication, CSRF protection, or rate limiting on /predict (see Section 8).</w:t>
      </w:r>
    </w:p>
    <w:p>
      <w:pPr>
        <w:pStyle w:val="ListParagraph"/>
        <w:numPr>
          <w:ilvl w:val="0"/>
          <w:numId w:val="2"/>
        </w:numPr>
        <w:spacing w:after="80"/>
      </w:pPr>
      <w:r>
        <w:rPr>
          <w:rFonts w:ascii="Calibri" w:cs="Calibri" w:eastAsia="Calibri" w:hAnsi="Calibri"/>
          <w:color w:val="101A2B"/>
          <w:sz w:val="22"/>
          <w:szCs w:val="22"/>
        </w:rPr>
        <w:t xml:space="preserve">No persistence layer — submitted applications and predictions are not logged or stored anywhere.</w:t>
      </w:r>
    </w:p>
    <w:p>
      <w:pPr>
        <w:pStyle w:val="ListParagraph"/>
        <w:numPr>
          <w:ilvl w:val="0"/>
          <w:numId w:val="2"/>
        </w:numPr>
        <w:spacing w:after="80"/>
      </w:pPr>
      <w:r>
        <w:rPr>
          <w:rFonts w:ascii="Calibri" w:cs="Calibri" w:eastAsia="Calibri" w:hAnsi="Calibri"/>
          <w:color w:val="101A2B"/>
          <w:sz w:val="22"/>
          <w:szCs w:val="22"/>
        </w:rPr>
        <w:t xml:space="preserve">Flask's built-in development server is not suitable for production traffic; the Procfile addresses this for IBM Cloud but other hosts need the same Gunicorn setup applied manually.</w:t>
      </w:r>
    </w:p>
    <w:p>
      <w:pPr>
        <w:pStyle w:val="ListParagraph"/>
        <w:numPr>
          <w:ilvl w:val="0"/>
          <w:numId w:val="2"/>
        </w:numPr>
        <w:spacing w:after="80"/>
      </w:pPr>
      <w:r>
        <w:rPr>
          <w:rFonts w:ascii="Calibri" w:cs="Calibri" w:eastAsia="Calibri" w:hAnsi="Calibri"/>
          <w:color w:val="101A2B"/>
          <w:sz w:val="22"/>
          <w:szCs w:val="22"/>
        </w:rPr>
        <w:t xml:space="preserve">No bulk/batch endpoint exists yet — each prediction requires a separate form submission.</w:t>
      </w:r>
    </w:p>
    <w:p>
      <w:pPr>
        <w:pStyle w:val="Heading1"/>
        <w:pBdr>
          <w:bottom w:val="single" w:color="2E7D6B" w:sz="6" w:space="4"/>
        </w:pBdr>
        <w:spacing w:after="200" w:before="400"/>
      </w:pPr>
      <w:r>
        <w:rPr>
          <w:rFonts w:ascii="Calibri" w:cs="Calibri" w:eastAsia="Calibri" w:hAnsi="Calibri"/>
          <w:b/>
          <w:bCs/>
          <w:color w:val="101A2B"/>
          <w:sz w:val="30"/>
          <w:szCs w:val="30"/>
        </w:rPr>
        <w:t xml:space="preserve">13. Future Enhancements</w:t>
      </w:r>
    </w:p>
    <w:p>
      <w:pPr>
        <w:pStyle w:val="ListParagraph"/>
        <w:numPr>
          <w:ilvl w:val="0"/>
          <w:numId w:val="2"/>
        </w:numPr>
        <w:spacing w:after="80"/>
      </w:pPr>
      <w:r>
        <w:rPr>
          <w:rFonts w:ascii="Calibri" w:cs="Calibri" w:eastAsia="Calibri" w:hAnsi="Calibri"/>
          <w:color w:val="101A2B"/>
          <w:sz w:val="22"/>
          <w:szCs w:val="22"/>
        </w:rPr>
        <w:t xml:space="preserve">Add a persistence layer (e.g., PostgreSQL or MongoDB) to log submitted applications, predictions, and confidence scores for audit and model-monitoring purposes.</w:t>
      </w:r>
    </w:p>
    <w:p>
      <w:pPr>
        <w:pStyle w:val="ListParagraph"/>
        <w:numPr>
          <w:ilvl w:val="0"/>
          <w:numId w:val="2"/>
        </w:numPr>
        <w:spacing w:after="80"/>
      </w:pPr>
      <w:r>
        <w:rPr>
          <w:rFonts w:ascii="Calibri" w:cs="Calibri" w:eastAsia="Calibri" w:hAnsi="Calibri"/>
          <w:color w:val="101A2B"/>
          <w:sz w:val="22"/>
          <w:szCs w:val="22"/>
        </w:rPr>
        <w:t xml:space="preserve">Add authentication and role-based access control for credit officers vs. administrators.</w:t>
      </w:r>
    </w:p>
    <w:p>
      <w:pPr>
        <w:pStyle w:val="ListParagraph"/>
        <w:numPr>
          <w:ilvl w:val="0"/>
          <w:numId w:val="2"/>
        </w:numPr>
        <w:spacing w:after="80"/>
      </w:pPr>
      <w:r>
        <w:rPr>
          <w:rFonts w:ascii="Calibri" w:cs="Calibri" w:eastAsia="Calibri" w:hAnsi="Calibri"/>
          <w:color w:val="101A2B"/>
          <w:sz w:val="22"/>
          <w:szCs w:val="22"/>
        </w:rPr>
        <w:t xml:space="preserve">Expose a JSON REST API (in addition to the HTML form) so the model can be integrated into other internal tools, plus a bulk-upload CSV endpoint for batch evaluation.</w:t>
      </w:r>
    </w:p>
    <w:p>
      <w:pPr>
        <w:pStyle w:val="ListParagraph"/>
        <w:numPr>
          <w:ilvl w:val="0"/>
          <w:numId w:val="2"/>
        </w:numPr>
        <w:spacing w:after="80"/>
      </w:pPr>
      <w:r>
        <w:rPr>
          <w:rFonts w:ascii="Calibri" w:cs="Calibri" w:eastAsia="Calibri" w:hAnsi="Calibri"/>
          <w:color w:val="101A2B"/>
          <w:sz w:val="22"/>
          <w:szCs w:val="22"/>
        </w:rPr>
        <w:t xml:space="preserve">Add automated tests (pytest for the Flask routes, and a data/model validation test that fails CI if test accuracy drops below a threshold).</w:t>
      </w:r>
    </w:p>
    <w:p>
      <w:pPr>
        <w:pStyle w:val="ListParagraph"/>
        <w:numPr>
          <w:ilvl w:val="0"/>
          <w:numId w:val="2"/>
        </w:numPr>
        <w:spacing w:after="80"/>
      </w:pPr>
      <w:r>
        <w:rPr>
          <w:rFonts w:ascii="Calibri" w:cs="Calibri" w:eastAsia="Calibri" w:hAnsi="Calibri"/>
          <w:color w:val="101A2B"/>
          <w:sz w:val="22"/>
          <w:szCs w:val="22"/>
        </w:rPr>
        <w:t xml:space="preserve">Track model versions and retraining runs (e.g., MLflow) instead of always overwriting model/model.pkl in place.</w:t>
      </w:r>
    </w:p>
    <w:p>
      <w:pPr>
        <w:pStyle w:val="ListParagraph"/>
        <w:numPr>
          <w:ilvl w:val="0"/>
          <w:numId w:val="2"/>
        </w:numPr>
        <w:spacing w:after="80"/>
      </w:pPr>
      <w:r>
        <w:rPr>
          <w:rFonts w:ascii="Calibri" w:cs="Calibri" w:eastAsia="Calibri" w:hAnsi="Calibri"/>
          <w:color w:val="101A2B"/>
          <w:sz w:val="22"/>
          <w:szCs w:val="22"/>
        </w:rPr>
        <w:t xml:space="preserve">Add explainability output (e.g., SHAP values) alongside the confidence gauge so credit officers can see which factors drove a given prediction.</w:t>
      </w:r>
    </w:p>
    <w:p>
      <w:pPr>
        <w:pStyle w:val="ListParagraph"/>
        <w:numPr>
          <w:ilvl w:val="0"/>
          <w:numId w:val="2"/>
        </w:numPr>
        <w:spacing w:after="80"/>
      </w:pPr>
      <w:r>
        <w:rPr>
          <w:rFonts w:ascii="Calibri" w:cs="Calibri" w:eastAsia="Calibri" w:hAnsi="Calibri"/>
          <w:color w:val="101A2B"/>
          <w:sz w:val="22"/>
          <w:szCs w:val="22"/>
        </w:rPr>
        <w:t xml:space="preserve">Replace the synthetic dataset with a larger, real historical dataset and re-tune hyperparameters for each of the four candidate models.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0dc0214afbff383735b6320b83f2001183c364a.png"/><Relationship Id="rId8" Type="http://schemas.openxmlformats.org/officeDocument/2006/relationships/image" Target="media/1137e31b0784bf674bf4776c2a0570a5514fa783.png"/><Relationship Id="rId9" Type="http://schemas.openxmlformats.org/officeDocument/2006/relationships/image" Target="media/ffa3cb92fd807020709f3b12452b673aa93bcf1a.png"/><Relationship Id="rId10" Type="http://schemas.openxmlformats.org/officeDocument/2006/relationships/image" Target="media/1dc8ea9a2f5a6ac7aeb284f5dbe1228afef7dea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2026-07-12T06:57:44.139Z</dcterms:created>
  <dcterms:modified xsi:type="dcterms:W3CDTF">2026-07-12T06:57:44.151Z</dcterms:modified>
</cp:coreProperties>
</file>

<file path=docProps/custom.xml><?xml version="1.0" encoding="utf-8"?>
<Properties xmlns="http://schemas.openxmlformats.org/officeDocument/2006/custom-properties" xmlns:vt="http://schemas.openxmlformats.org/officeDocument/2006/docPropsVTypes"/>
</file>