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Empathize &amp; Discover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Empathy Map Canvas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An empathy map captures what the primary user of Smart Lender — a credit officer responsible for approving or declining loan applications — thinks, feels, sees, says, and does today, before an ML-based decision aid exists. Understanding this perspective grounded every downstream design decision, from the single-screen intake form to the confidence gauge on the result page.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b/>
          <w:bCs/>
          <w:color w:val="2f6fed"/>
          <w:sz w:val="21"/>
          <w:szCs w:val="21"/>
        </w:rPr>
        <w:t xml:space="preserve">Key takeaways used to shape the 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The officer's biggest pain is inconsistency and speed, not a lack of data — Smart Lender must turn data already being collected into an instant, repeatable 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Trust matters as much as accuracy: the result page shows a confidence percentage and gauge rather than a bare yes/no, so the officer can judge borderline cases themselves.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Auditability is a gain the officer explicitly wants — the trained model and comparison metrics (model_comparison.json) are persisted so every decision can be traced back to a known model version.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f70850cf2e798fd567b53f95902f42323503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2026-07-12T06:57:24.313Z</dcterms:created>
  <dcterms:modified xsi:type="dcterms:W3CDTF">2026-07-12T06:57:24.326Z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