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aps/>
          <w:color w:val="2f6fed"/>
          <w:sz w:val="22"/>
          <w:szCs w:val="22"/>
        </w:rPr>
        <w:t xml:space="preserve">Project Design Phase</w:t>
      </w:r>
    </w:p>
    <w:p>
      <w:pPr>
        <w:spacing w:after="200"/>
        <w:jc w:val="center"/>
      </w:pPr>
      <w:r>
        <w:rPr>
          <w:b/>
          <w:bCs/>
          <w:color w:val="1b2a4a"/>
          <w:sz w:val="32"/>
          <w:szCs w:val="32"/>
        </w:rPr>
        <w:t xml:space="preserve">Proposed Solution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9d4e6" w:sz="4"/>
              <w:left w:val="single" w:color="c9d4e6" w:sz="4"/>
              <w:bottom w:val="single" w:color="c9d4e6" w:sz="4"/>
              <w:right w:val="single" w:color="c9d4e6" w:sz="4"/>
            </w:tcBorders>
            <w:shd w:fill="1b2a4a" w:color="auto" w:val="clear"/>
            <w:tcMar>
              <w:top w:type="dxa" w:w="100"/>
              <w:left w:type="dxa" w:w="120"/>
              <w:bottom w:type="dxa" w:w="100"/>
              <w:right w:type="dxa" w:w="120"/>
            </w:tcMar>
            <w:vAlign w:val="center"/>
          </w:tcPr>
          <w:p>
            <w:r>
              <w:rPr>
                <w:b/>
                <w:bCs/>
                <w:color w:val="ffffff"/>
                <w:sz w:val="19"/>
                <w:szCs w:val="19"/>
              </w:rPr>
              <w:t xml:space="preserve">Date</w:t>
            </w:r>
          </w:p>
        </w:tc>
        <w:tc>
          <w:tcPr>
            <w:tcW w:type="pct" w:w="7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val="false"/>
                <w:bCs w:val="false"/>
                <w:color w:val="1f2937"/>
                <w:sz w:val="19"/>
                <w:szCs w:val="19"/>
              </w:rPr>
              <w:t xml:space="preserve">12 July 2026</w:t>
            </w:r>
          </w:p>
        </w:tc>
      </w:tr>
      <w:tr>
        <w:tc>
          <w:tcPr>
            <w:tcW w:type="pct" w:w="22%"/>
            <w:tcBorders>
              <w:top w:val="single" w:color="c9d4e6" w:sz="4"/>
              <w:left w:val="single" w:color="c9d4e6" w:sz="4"/>
              <w:bottom w:val="single" w:color="c9d4e6" w:sz="4"/>
              <w:right w:val="single" w:color="c9d4e6" w:sz="4"/>
            </w:tcBorders>
            <w:shd w:fill="1b2a4a" w:color="auto" w:val="clear"/>
            <w:tcMar>
              <w:top w:type="dxa" w:w="100"/>
              <w:left w:type="dxa" w:w="120"/>
              <w:bottom w:type="dxa" w:w="100"/>
              <w:right w:type="dxa" w:w="120"/>
            </w:tcMar>
            <w:vAlign w:val="center"/>
          </w:tcPr>
          <w:p>
            <w:r>
              <w:rPr>
                <w:b/>
                <w:bCs/>
                <w:color w:val="ffffff"/>
                <w:sz w:val="19"/>
                <w:szCs w:val="19"/>
              </w:rPr>
              <w:t xml:space="preserve">Team ID</w:t>
            </w:r>
          </w:p>
        </w:tc>
        <w:tc>
          <w:tcPr>
            <w:tcW w:type="pct" w:w="7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val="false"/>
                <w:bCs w:val="false"/>
                <w:color w:val="1f2937"/>
                <w:sz w:val="19"/>
                <w:szCs w:val="19"/>
              </w:rPr>
              <w:t xml:space="preserve">[Enter Team ID]</w:t>
            </w:r>
          </w:p>
        </w:tc>
      </w:tr>
      <w:tr>
        <w:tc>
          <w:tcPr>
            <w:tcW w:type="pct" w:w="22%"/>
            <w:tcBorders>
              <w:top w:val="single" w:color="c9d4e6" w:sz="4"/>
              <w:left w:val="single" w:color="c9d4e6" w:sz="4"/>
              <w:bottom w:val="single" w:color="c9d4e6" w:sz="4"/>
              <w:right w:val="single" w:color="c9d4e6" w:sz="4"/>
            </w:tcBorders>
            <w:shd w:fill="1b2a4a" w:color="auto" w:val="clear"/>
            <w:tcMar>
              <w:top w:type="dxa" w:w="100"/>
              <w:left w:type="dxa" w:w="120"/>
              <w:bottom w:type="dxa" w:w="100"/>
              <w:right w:type="dxa" w:w="120"/>
            </w:tcMar>
            <w:vAlign w:val="center"/>
          </w:tcPr>
          <w:p>
            <w:r>
              <w:rPr>
                <w:b/>
                <w:bCs/>
                <w:color w:val="ffffff"/>
                <w:sz w:val="19"/>
                <w:szCs w:val="19"/>
              </w:rPr>
              <w:t xml:space="preserve">Project Name</w:t>
            </w:r>
          </w:p>
        </w:tc>
        <w:tc>
          <w:tcPr>
            <w:tcW w:type="pct" w:w="7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val="false"/>
                <w:bCs w:val="false"/>
                <w:color w:val="1f2937"/>
                <w:sz w:val="19"/>
                <w:szCs w:val="19"/>
              </w:rPr>
              <w:t xml:space="preserve">Smart Lender – Loan Approval Prediction System</w:t>
            </w:r>
          </w:p>
        </w:tc>
      </w:tr>
      <w:tr>
        <w:tc>
          <w:tcPr>
            <w:tcW w:type="pct" w:w="22%"/>
            <w:tcBorders>
              <w:top w:val="single" w:color="c9d4e6" w:sz="4"/>
              <w:left w:val="single" w:color="c9d4e6" w:sz="4"/>
              <w:bottom w:val="single" w:color="c9d4e6" w:sz="4"/>
              <w:right w:val="single" w:color="c9d4e6" w:sz="4"/>
            </w:tcBorders>
            <w:shd w:fill="1b2a4a" w:color="auto" w:val="clear"/>
            <w:tcMar>
              <w:top w:type="dxa" w:w="100"/>
              <w:left w:type="dxa" w:w="120"/>
              <w:bottom w:type="dxa" w:w="100"/>
              <w:right w:type="dxa" w:w="120"/>
            </w:tcMar>
            <w:vAlign w:val="center"/>
          </w:tcPr>
          <w:p>
            <w:r>
              <w:rPr>
                <w:b/>
                <w:bCs/>
                <w:color w:val="ffffff"/>
                <w:sz w:val="19"/>
                <w:szCs w:val="19"/>
              </w:rPr>
              <w:t xml:space="preserve">Maximum Marks</w:t>
            </w:r>
          </w:p>
        </w:tc>
        <w:tc>
          <w:tcPr>
            <w:tcW w:type="pct" w:w="7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val="false"/>
                <w:bCs w:val="false"/>
                <w:color w:val="1f2937"/>
                <w:sz w:val="19"/>
                <w:szCs w:val="19"/>
              </w:rPr>
              <w:t xml:space="preserve">2 Marks</w:t>
            </w:r>
          </w:p>
        </w:tc>
      </w:tr>
    </w:tbl>
    <w:p>
      <w:pPr>
        <w:pStyle w:val="Heading2"/>
        <w:spacing w:after="140" w:before="280"/>
      </w:pPr>
      <w:r>
        <w:rPr>
          <w:b/>
          <w:bCs/>
          <w:color w:val="1b2a4a"/>
          <w:sz w:val="24"/>
          <w:szCs w:val="24"/>
        </w:rPr>
        <w:t xml:space="preserve">Proposed Solution</w:t>
      </w:r>
    </w:p>
    <w:p>
      <w:pPr>
        <w:spacing w:after="120"/>
      </w:pPr>
      <w:r>
        <w:rPr>
          <w:b w:val="false"/>
          <w:bCs w:val="false"/>
          <w:i w:val="false"/>
          <w:iCs w:val="false"/>
          <w:color w:val="1f2937"/>
          <w:sz w:val="20"/>
          <w:szCs w:val="20"/>
        </w:rPr>
        <w:t xml:space="preserve">The project team has filled the following information in the proposed solution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single" w:color="c9d4e6" w:sz="4"/>
              <w:left w:val="single" w:color="c9d4e6" w:sz="4"/>
              <w:bottom w:val="single" w:color="c9d4e6" w:sz="4"/>
              <w:right w:val="single" w:color="c9d4e6" w:sz="4"/>
            </w:tcBorders>
            <w:shd w:fill="1b2a4a" w:color="auto" w:val="clear"/>
            <w:tcMar>
              <w:top w:type="dxa" w:w="100"/>
              <w:left w:type="dxa" w:w="120"/>
              <w:bottom w:type="dxa" w:w="100"/>
              <w:right w:type="dxa" w:w="120"/>
            </w:tcMar>
            <w:vAlign w:val="center"/>
          </w:tcPr>
          <w:p>
            <w:r>
              <w:rPr>
                <w:b/>
                <w:bCs/>
                <w:color w:val="ffffff"/>
                <w:sz w:val="19"/>
                <w:szCs w:val="19"/>
              </w:rPr>
              <w:t xml:space="preserve">S.No.</w:t>
            </w:r>
          </w:p>
        </w:tc>
        <w:tc>
          <w:tcPr>
            <w:tcW w:type="pct" w:w="24%"/>
            <w:tcBorders>
              <w:top w:val="single" w:color="c9d4e6" w:sz="4"/>
              <w:left w:val="single" w:color="c9d4e6" w:sz="4"/>
              <w:bottom w:val="single" w:color="c9d4e6" w:sz="4"/>
              <w:right w:val="single" w:color="c9d4e6" w:sz="4"/>
            </w:tcBorders>
            <w:shd w:fill="1b2a4a" w:color="auto" w:val="clear"/>
            <w:tcMar>
              <w:top w:type="dxa" w:w="100"/>
              <w:left w:type="dxa" w:w="120"/>
              <w:bottom w:type="dxa" w:w="100"/>
              <w:right w:type="dxa" w:w="120"/>
            </w:tcMar>
            <w:vAlign w:val="center"/>
          </w:tcPr>
          <w:p>
            <w:r>
              <w:rPr>
                <w:b/>
                <w:bCs/>
                <w:color w:val="ffffff"/>
                <w:sz w:val="19"/>
                <w:szCs w:val="19"/>
              </w:rPr>
              <w:t xml:space="preserve">Parameter</w:t>
            </w:r>
          </w:p>
        </w:tc>
        <w:tc>
          <w:tcPr>
            <w:tcW w:type="pct" w:w="68%"/>
            <w:tcBorders>
              <w:top w:val="single" w:color="c9d4e6" w:sz="4"/>
              <w:left w:val="single" w:color="c9d4e6" w:sz="4"/>
              <w:bottom w:val="single" w:color="c9d4e6" w:sz="4"/>
              <w:right w:val="single" w:color="c9d4e6" w:sz="4"/>
            </w:tcBorders>
            <w:shd w:fill="1b2a4a" w:color="auto" w:val="clear"/>
            <w:tcMar>
              <w:top w:type="dxa" w:w="100"/>
              <w:left w:type="dxa" w:w="120"/>
              <w:bottom w:type="dxa" w:w="100"/>
              <w:right w:type="dxa" w:w="120"/>
            </w:tcMar>
            <w:vAlign w:val="center"/>
          </w:tcPr>
          <w:p>
            <w:r>
              <w:rPr>
                <w:b/>
                <w:bCs/>
                <w:color w:val="ffffff"/>
                <w:sz w:val="19"/>
                <w:szCs w:val="19"/>
              </w:rPr>
              <w:t xml:space="preserve">Description</w:t>
            </w:r>
          </w:p>
        </w:tc>
      </w:tr>
      <w:tr>
        <w:tc>
          <w:tcPr>
            <w:tcW w:type="pct" w:w="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bCs/>
                <w:color w:val="1f2937"/>
                <w:sz w:val="19"/>
                <w:szCs w:val="19"/>
              </w:rPr>
              <w:t xml:space="preserve">1</w:t>
            </w:r>
          </w:p>
        </w:tc>
        <w:tc>
          <w:tcPr>
            <w:tcW w:type="pct" w:w="24%"/>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bCs/>
                <w:color w:val="1f2937"/>
                <w:sz w:val="19"/>
                <w:szCs w:val="19"/>
              </w:rPr>
              <w:t xml:space="preserve">Problem Statement (Problem to be solved)</w:t>
            </w:r>
          </w:p>
        </w:tc>
        <w:tc>
          <w:tcPr>
            <w:tcW w:type="pct" w:w="6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val="false"/>
                <w:bCs w:val="false"/>
                <w:color w:val="1f2937"/>
                <w:sz w:val="19"/>
                <w:szCs w:val="19"/>
              </w:rPr>
              <w:t xml:space="preserve">Credit officers at banks and NBFCs manually cross-check income, credit history, employment and property details for every loan applicant. This is slow, inconsistent across officers, and prone to bias, leading to delayed decisions and backlogs during peak application periods.</w:t>
            </w:r>
          </w:p>
        </w:tc>
      </w:tr>
      <w:tr>
        <w:tc>
          <w:tcPr>
            <w:tcW w:type="pct" w:w="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bCs/>
                <w:color w:val="1f2937"/>
                <w:sz w:val="19"/>
                <w:szCs w:val="19"/>
              </w:rPr>
              <w:t xml:space="preserve">2</w:t>
            </w:r>
          </w:p>
        </w:tc>
        <w:tc>
          <w:tcPr>
            <w:tcW w:type="pct" w:w="24%"/>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bCs/>
                <w:color w:val="1f2937"/>
                <w:sz w:val="19"/>
                <w:szCs w:val="19"/>
              </w:rPr>
              <w:t xml:space="preserve">Idea / Solution description</w:t>
            </w:r>
          </w:p>
        </w:tc>
        <w:tc>
          <w:tcPr>
            <w:tcW w:type="pct" w:w="6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val="false"/>
                <w:bCs w:val="false"/>
                <w:color w:val="1f2937"/>
                <w:sz w:val="19"/>
                <w:szCs w:val="19"/>
              </w:rPr>
              <w:t xml:space="preserve">Smart Lender is a Flask web application that takes an applicant's details through a simple intake form and returns an instant Approve/Decline prediction with a confidence score. Behind the scenes, a pipeline trains four classifiers — Decision Tree, Random Forest, KNN, and XGBoost — on historical applicant data, automatically selects whichever tests best, and persists it for real-time serving.</w:t>
            </w:r>
          </w:p>
        </w:tc>
      </w:tr>
      <w:tr>
        <w:tc>
          <w:tcPr>
            <w:tcW w:type="pct" w:w="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bCs/>
                <w:color w:val="1f2937"/>
                <w:sz w:val="19"/>
                <w:szCs w:val="19"/>
              </w:rPr>
              <w:t xml:space="preserve">3</w:t>
            </w:r>
          </w:p>
        </w:tc>
        <w:tc>
          <w:tcPr>
            <w:tcW w:type="pct" w:w="24%"/>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bCs/>
                <w:color w:val="1f2937"/>
                <w:sz w:val="19"/>
                <w:szCs w:val="19"/>
              </w:rPr>
              <w:t xml:space="preserve">Novelty / Uniqueness</w:t>
            </w:r>
          </w:p>
        </w:tc>
        <w:tc>
          <w:tcPr>
            <w:tcW w:type="pct" w:w="6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val="false"/>
                <w:bCs w:val="false"/>
                <w:color w:val="1f2937"/>
                <w:sz w:val="19"/>
                <w:szCs w:val="19"/>
              </w:rPr>
              <w:t xml:space="preserve">Rather than shipping a single fixed model, the training pipeline benchmarks four algorithms side by side and auto-selects the best performer, recording the full comparison in model_comparison.json for transparency. The result page pairs the decision with a visual confidence gauge instead of a bare Yes/No, helping officers judge borderline cases.</w:t>
            </w:r>
          </w:p>
        </w:tc>
      </w:tr>
      <w:tr>
        <w:tc>
          <w:tcPr>
            <w:tcW w:type="pct" w:w="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bCs/>
                <w:color w:val="1f2937"/>
                <w:sz w:val="19"/>
                <w:szCs w:val="19"/>
              </w:rPr>
              <w:t xml:space="preserve">4</w:t>
            </w:r>
          </w:p>
        </w:tc>
        <w:tc>
          <w:tcPr>
            <w:tcW w:type="pct" w:w="24%"/>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bCs/>
                <w:color w:val="1f2937"/>
                <w:sz w:val="19"/>
                <w:szCs w:val="19"/>
              </w:rPr>
              <w:t xml:space="preserve">Social Impact / Customer Satisfaction</w:t>
            </w:r>
          </w:p>
        </w:tc>
        <w:tc>
          <w:tcPr>
            <w:tcW w:type="pct" w:w="6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val="false"/>
                <w:bCs w:val="false"/>
                <w:color w:val="1f2937"/>
                <w:sz w:val="19"/>
                <w:szCs w:val="19"/>
              </w:rPr>
              <w:t xml:space="preserve">Faster, more consistent loan decisions reduce processing backlogs and give applicants quicker answers. A standardized, data-driven score also reduces officer-to-officer variability and supports fairer outcomes across applicants.</w:t>
            </w:r>
          </w:p>
        </w:tc>
      </w:tr>
      <w:tr>
        <w:tc>
          <w:tcPr>
            <w:tcW w:type="pct" w:w="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bCs/>
                <w:color w:val="1f2937"/>
                <w:sz w:val="19"/>
                <w:szCs w:val="19"/>
              </w:rPr>
              <w:t xml:space="preserve">5</w:t>
            </w:r>
          </w:p>
        </w:tc>
        <w:tc>
          <w:tcPr>
            <w:tcW w:type="pct" w:w="24%"/>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bCs/>
                <w:color w:val="1f2937"/>
                <w:sz w:val="19"/>
                <w:szCs w:val="19"/>
              </w:rPr>
              <w:t xml:space="preserve">Business Model (Revenue Model)</w:t>
            </w:r>
          </w:p>
        </w:tc>
        <w:tc>
          <w:tcPr>
            <w:tcW w:type="pct" w:w="6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val="false"/>
                <w:bCs w:val="false"/>
                <w:color w:val="1f2937"/>
                <w:sz w:val="19"/>
                <w:szCs w:val="19"/>
              </w:rPr>
              <w:t xml:space="preserve">Deployed as an internal decision-support tool for banks/NBFCs (B2B SaaS or on-prem licensing); can be offered as a per-seat subscription for credit officers or a per-prediction API for integration into an existing Loan Origination System (LOS).</w:t>
            </w:r>
          </w:p>
        </w:tc>
      </w:tr>
      <w:tr>
        <w:tc>
          <w:tcPr>
            <w:tcW w:type="pct" w:w="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bCs/>
                <w:color w:val="1f2937"/>
                <w:sz w:val="19"/>
                <w:szCs w:val="19"/>
              </w:rPr>
              <w:t xml:space="preserve">6</w:t>
            </w:r>
          </w:p>
        </w:tc>
        <w:tc>
          <w:tcPr>
            <w:tcW w:type="pct" w:w="24%"/>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bCs/>
                <w:color w:val="1f2937"/>
                <w:sz w:val="19"/>
                <w:szCs w:val="19"/>
              </w:rPr>
              <w:t xml:space="preserve">Scalability of the Solution</w:t>
            </w:r>
          </w:p>
        </w:tc>
        <w:tc>
          <w:tcPr>
            <w:tcW w:type="pct" w:w="68%"/>
            <w:tcBorders>
              <w:top w:val="single" w:color="c9d4e6" w:sz="4"/>
              <w:left w:val="single" w:color="c9d4e6" w:sz="4"/>
              <w:bottom w:val="single" w:color="c9d4e6" w:sz="4"/>
              <w:right w:val="single" w:color="c9d4e6" w:sz="4"/>
            </w:tcBorders>
            <w:tcMar>
              <w:top w:type="dxa" w:w="80"/>
              <w:left w:type="dxa" w:w="120"/>
              <w:bottom w:type="dxa" w:w="80"/>
              <w:right w:type="dxa" w:w="120"/>
            </w:tcMar>
            <w:vAlign w:val="center"/>
          </w:tcPr>
          <w:p>
            <w:r>
              <w:rPr>
                <w:b w:val="false"/>
                <w:bCs w:val="false"/>
                <w:color w:val="1f2937"/>
                <w:sz w:val="19"/>
                <w:szCs w:val="19"/>
              </w:rPr>
              <w:t xml:space="preserve">The Flask app is stateless and can run behind a load balancer with multiple gunicorn workers/instances on IBM Cloud Foundry or Code Engine. Retraining is decoupled from serving, so the model can be refreshed on larger, real datasets without any changes to app.py, and the same pipeline can later support a bulk CSV / batch-scoring endpoint.</w:t>
            </w:r>
          </w:p>
        </w:tc>
      </w:tr>
    </w:tbl>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2026-07-12T06:59:36.974Z</dcterms:created>
  <dcterms:modified xsi:type="dcterms:W3CDTF">2026-07-12T06:59:36.974Z</dcterms:modified>
</cp:coreProperties>
</file>

<file path=docProps/custom.xml><?xml version="1.0" encoding="utf-8"?>
<Properties xmlns="http://schemas.openxmlformats.org/officeDocument/2006/custom-properties" xmlns:vt="http://schemas.openxmlformats.org/officeDocument/2006/docPropsVTypes"/>
</file>