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Solution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Solution Architecture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Solution architecture bridges the credit officer's problem with a concrete, deployable technology solution. It defines the components, their responsibilities, and how they interact end to end — from a raw applicant dataset to a live prediction in the browser.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b/>
          <w:bCs/>
          <w:color w:val="2f6fed"/>
          <w:sz w:val="21"/>
          <w:szCs w:val="21"/>
        </w:rPr>
        <w:t xml:space="preserve">Layer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files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Presentation</w:t>
            </w:r>
          </w:p>
        </w:tc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Applicant intake form; renders the decision and confidence gauge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templates/index.html, templates/result.html, static/css/style.css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Flask routes: GET / serves the form, POST /predict encodes input, runs inference and computes gauge geometry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Preprocessing</w:t>
            </w:r>
          </w:p>
        </w:tc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Label-encodes categorical fields and scales numeric fields identically at train and serve time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model/encoders.pkl, model/scaler.pkl, model/feature_cols.pkl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Model</w:t>
            </w:r>
          </w:p>
        </w:tc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Best of four trained classifiers, selected automatically on test accuracy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model/model.pkl (Decision Tree / Random Forest / KNN / XGBoost)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Training Pipeline</w:t>
            </w:r>
          </w:p>
        </w:tc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Cleans data, trains &amp; compares all four models, persists the winner and its metrics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train_model.py, model/model_comparison.json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Source applicant dataset used for training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data/loan_data.csv, data/generate_data.py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Deployment</w:t>
            </w:r>
          </w:p>
        </w:tc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Runs the WSGI app in production</w:t>
            </w:r>
          </w:p>
        </w:tc>
        <w:tc>
          <w:tcPr>
            <w:tcW w:type="pct" w:w="33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Procfile (gunicorn app:app) → IBM Cloud Foundry / Code Engine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f6fed"/>
          <w:sz w:val="21"/>
          <w:szCs w:val="21"/>
        </w:rPr>
        <w:t xml:space="preserve">Request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The officer opens the app; Flask's GET / route renders index.html with the intake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On submit, POST /predict receives the form, builds a single-row DataFrame, and encodes each categorical field with its fitted LabelEncoder (falling back to the most common class for unseen values).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Numeric fields are scaled with the fitted StandardScaler, columns are reordered to feature_cols.pkl, and the persisted model.pkl produces a prediction and, where supported, a class probability.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app.py converts the probability into gauge needle coordinates and arc length, then renders result.html with the decision, confidence, and the applicant's own submitted data.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8e6c507f2561c695767c5bd6004200dabf1a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2026-07-12T06:59:37.513Z</dcterms:created>
  <dcterms:modified xsi:type="dcterms:W3CDTF">2026-07-12T06:59:37.513Z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