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D2" w:rsidRPr="006F6AD2" w:rsidRDefault="006F6AD2" w:rsidP="006F6AD2">
      <w:pPr>
        <w:pStyle w:val="Iaeaaeaiea3"/>
        <w:rPr>
          <w:rStyle w:val="Aeiannueea"/>
          <w:b/>
          <w:iCs/>
          <w:sz w:val="28"/>
          <w:szCs w:val="28"/>
        </w:rPr>
      </w:pPr>
      <w:r w:rsidRPr="006F6AD2">
        <w:rPr>
          <w:rStyle w:val="Aeiannueea"/>
          <w:b/>
          <w:iCs/>
          <w:sz w:val="28"/>
          <w:szCs w:val="28"/>
        </w:rPr>
        <w:t>ВИДЫ ПРЕДМЕТНЫХ ОБЛАСТЕЙ</w:t>
      </w:r>
    </w:p>
    <w:p w:rsidR="006F6AD2" w:rsidRPr="006F6AD2" w:rsidRDefault="006F6AD2" w:rsidP="006F6AD2"/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1. Страховая компания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2. Гостиница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3. Л</w:t>
      </w:r>
      <w:bookmarkStart w:id="0" w:name="_GoBack"/>
      <w:bookmarkEnd w:id="0"/>
      <w:r w:rsidRPr="006F6AD2">
        <w:rPr>
          <w:rStyle w:val="Aeiannueea"/>
          <w:iCs/>
          <w:sz w:val="28"/>
          <w:szCs w:val="28"/>
        </w:rPr>
        <w:t>омбард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Style w:val="Aeiannueea"/>
          <w:iCs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4. Реализация готовой продукции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5. Ведение заказов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6. Бюро по трудоустройству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7. Нотариальная контора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8. Фирма по продаже запчастей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9. Курсы по повышению квалификации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10. Определение факультативов для студентов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11. Распределение учебной нагрузки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12. Распределение дополнительных обязанностей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13. Техническое обслуживание станков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14. Туристическая фирма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15. Грузовые перевозки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16. Учет телефонных переговоров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17. Учет внутриофисных расходов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18. Библиотека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19. Прокат автомобилей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20. Выдача банком кредитов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21. Инвестирование свободных средств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22. Занятость актеров театра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23. Платная поликлиника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24. Анализ динамики показателей финансовой отчетности различных предприятий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25. Учет телекомпанией стоимости прошедшей в эфире рекламы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26. Интернет-магазин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27. Ювелирная мастерская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28. Парикмахерская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pStyle w:val="Iaeaaeaiea3"/>
        <w:rPr>
          <w:rFonts w:cs="Times New Roman"/>
          <w:color w:val="000000"/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29. Химчистка</w:t>
      </w:r>
      <w:r w:rsidRPr="006F6AD2">
        <w:rPr>
          <w:rFonts w:cs="Times New Roman"/>
          <w:iCs/>
          <w:color w:val="000000"/>
          <w:sz w:val="28"/>
          <w:szCs w:val="28"/>
        </w:rPr>
        <w:t xml:space="preserve"> </w:t>
      </w:r>
    </w:p>
    <w:p w:rsidR="006F6AD2" w:rsidRPr="006F6AD2" w:rsidRDefault="006F6AD2" w:rsidP="006F6AD2">
      <w:pPr>
        <w:rPr>
          <w:sz w:val="28"/>
          <w:szCs w:val="28"/>
        </w:rPr>
      </w:pPr>
      <w:r w:rsidRPr="006F6AD2">
        <w:rPr>
          <w:rStyle w:val="Aeiannueea"/>
          <w:iCs/>
          <w:sz w:val="28"/>
          <w:szCs w:val="28"/>
        </w:rPr>
        <w:t>30. Сдача в аренду торговых площадей</w:t>
      </w:r>
    </w:p>
    <w:sectPr w:rsidR="006F6AD2" w:rsidRPr="006F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D2"/>
    <w:rsid w:val="006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eaaeaiea3">
    <w:name w:val="Iaeaaeaiea 3"/>
    <w:basedOn w:val="a"/>
    <w:next w:val="a"/>
    <w:uiPriority w:val="99"/>
    <w:rsid w:val="006F6A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eiannueea">
    <w:name w:val="Aeia.nnueea"/>
    <w:uiPriority w:val="99"/>
    <w:rsid w:val="006F6AD2"/>
    <w:rPr>
      <w:rFonts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eaaeaiea3">
    <w:name w:val="Iaeaaeaiea 3"/>
    <w:basedOn w:val="a"/>
    <w:next w:val="a"/>
    <w:uiPriority w:val="99"/>
    <w:rsid w:val="006F6A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eiannueea">
    <w:name w:val="Aeia.nnueea"/>
    <w:uiPriority w:val="99"/>
    <w:rsid w:val="006F6AD2"/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2016-09-07T15:51:00Z</dcterms:created>
  <dcterms:modified xsi:type="dcterms:W3CDTF">2016-09-07T15:58:00Z</dcterms:modified>
</cp:coreProperties>
</file>