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SQL in a Nutshell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3ª Edição, por Kevin E. Kline, Daniel Kline e Brand Hunt. 2009 O’Reilly Media, Inc.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Database System Concepts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7ª Edição, por Abraham Silberschatz e Henry F. Korth. 2020 McGraw-Hill.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An Introduction to Database Systems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7ª Edição, por C. J. Date. 2002 Pearson.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Fundamentals of Database Systems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7ª Edição, por Ramez Elmasri e Shamkant B. Navathe. 2016 Pearson.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MySQL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disponível em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https://www.mysql.com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Instalação do MySQL Community Edition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Rule="auto"/>
        <w:ind w:left="1440" w:hanging="36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MySQL Server v.8.0.22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disponível em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https://dev.mysql.com/downloads/mysql/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Rule="auto"/>
        <w:ind w:left="1440" w:hanging="360"/>
        <w:jc w:val="left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MySQL Workbench v8.0.22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disponível em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https://dev.mysql.com/downloads/workbench/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Base de dados Sakila: disponível em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https://dev.mysql.com/doc/sakila/en/sakila-installation.html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.mysql.com/doc/sakila/en/sakila-installation.html" TargetMode="External"/><Relationship Id="rId9" Type="http://schemas.openxmlformats.org/officeDocument/2006/relationships/hyperlink" Target="https://dev.mysql.com/downloads/workbench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ysql.com" TargetMode="External"/><Relationship Id="rId8" Type="http://schemas.openxmlformats.org/officeDocument/2006/relationships/hyperlink" Target="https://dev.mysql.com/downloads/mysq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YuoQKp8pgWtd1fr/gX5VmLY+w==">AMUW2mWcfHeYM+971UoM3iyYX5ShYYZp60KVSHiby/ImdXxz0Qk4cjR02/oJBKMSFsnOUC30vLMZhnsdJi89YsTuv7dMbXgoZ7+BCFR/T8QRjWPD6MtQpRI=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