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6840"/>
        <w:gridCol w:w="3960"/>
      </w:tblGrid>
      <w:tr>
        <w:tc>
          <w:tcPr>
            <w:tcW w:type="dxa" w:w="6840"/>
            <w:vAlign w:val="top"/>
            <w:tcMar>
              <w:top w:w="100" w:type="dxa"/>
              <w:start w:w="120" w:type="dxa"/>
              <w:bottom w:w="100" w:type="dxa"/>
              <w:end w:w="220" w:type="dxa"/>
            </w:tcMar>
          </w:tcPr>
          <w:p>
            <w:pPr>
              <w:spacing w:before="0" w:after="20" w:line="276" w:lineRule="auto"/>
            </w:pPr>
            <w:r>
              <w:rPr>
                <w:rFonts w:ascii="Calibri" w:hAnsi="Calibri"/>
                <w:b/>
                <w:i w:val="0"/>
                <w:color w:val="00315C"/>
                <w:sz w:val="30"/>
              </w:rPr>
              <w:t>CHIEF SUPPLY CHAIN OFFICER</w:t>
            </w:r>
          </w:p>
          <w:p>
            <w:pPr>
              <w:spacing w:before="0" w:after="120" w:line="276" w:lineRule="auto"/>
              <w:pBdr>
                <w:bottom w:val="single" w:sz="8" w:space="2" w:color="00315C"/>
              </w:pBdr>
            </w:pPr>
            <w:r>
              <w:rPr>
                <w:rFonts w:ascii="Calibri" w:hAnsi="Calibri"/>
                <w:b w:val="0"/>
                <w:i/>
                <w:color w:val="555555"/>
                <w:sz w:val="19"/>
              </w:rPr>
              <w:t>End-to-End Supply Chain · Procurement · Logistics · Federal Contracting Key Personnel</w:t>
            </w:r>
          </w:p>
          <w:p>
            <w:pPr>
              <w:spacing w:before="240" w:after="80" w:line="276" w:lineRule="auto"/>
              <w:pBdr>
                <w:bottom w:val="single" w:sz="8" w:space="2" w:color="00315C"/>
              </w:pBdr>
            </w:pPr>
            <w:r>
              <w:rPr>
                <w:rFonts w:ascii="Calibri" w:hAnsi="Calibri"/>
                <w:b/>
                <w:i w:val="0"/>
                <w:color w:val="00315C"/>
                <w:sz w:val="27"/>
              </w:rPr>
              <w:t>PROFESSIONAL SUMMARY</w:t>
            </w:r>
          </w:p>
          <w:p>
            <w:pPr>
              <w:spacing w:before="0" w:after="80" w:line="276" w:lineRule="auto"/>
            </w:pPr>
            <w:r>
              <w:rPr>
                <w:rFonts w:ascii="Calibri" w:hAnsi="Calibri"/>
                <w:b w:val="0"/>
                <w:i w:val="0"/>
                <w:color w:val="222222"/>
                <w:sz w:val="22"/>
              </w:rPr>
              <w:t>Chief Supply Chain Officer with 10 years at Albright Laboratories LLC — one year as a supply chain intern followed by nine years leading the end-to-end supply chain: plan, source, make, deliver, and returns. Owns P&amp;L and operating-budget responsibility, strategic sourcing and vendor negotiation, logistics and distribution, inventory and demand planning, supply chain risk management, and quality and compliance — aligned to the company's federal contracting under NAICS 541614.</w:t>
            </w:r>
          </w:p>
          <w:p>
            <w:pPr>
              <w:spacing w:before="0" w:after="80" w:line="276" w:lineRule="auto"/>
            </w:pPr>
            <w:r>
              <w:rPr>
                <w:rFonts w:ascii="Calibri" w:hAnsi="Calibri"/>
                <w:b w:val="0"/>
                <w:i w:val="0"/>
                <w:color w:val="222222"/>
                <w:sz w:val="22"/>
              </w:rPr>
              <w:t>Grew from the floor up and qualifies on experience (the role is experience-first; no degree required). Experienced with ERP and operations systems and disciplined documentation for federal Key Personnel requirements. Bilingual in English and Spanish. Concurrently works in property management as a part-time second job (below).</w:t>
            </w:r>
          </w:p>
          <w:p>
            <w:pPr>
              <w:spacing w:before="240" w:after="80" w:line="276" w:lineRule="auto"/>
              <w:pBdr>
                <w:bottom w:val="single" w:sz="8" w:space="2" w:color="00315C"/>
              </w:pBdr>
            </w:pPr>
            <w:r>
              <w:rPr>
                <w:rFonts w:ascii="Calibri" w:hAnsi="Calibri"/>
                <w:b/>
                <w:i w:val="0"/>
                <w:color w:val="00315C"/>
                <w:sz w:val="27"/>
              </w:rPr>
              <w:t>CORE SUPPLY CHAIN COMPETENCIES</w:t>
            </w:r>
          </w:p>
          <w:p>
            <w:pPr>
              <w:spacing w:before="0" w:after="80" w:line="276" w:lineRule="auto"/>
              <w:ind w:left="230"/>
            </w:pPr>
            <w:r>
              <w:rPr>
                <w:rFonts w:ascii="Calibri" w:hAnsi="Calibri"/>
                <w:color w:val="00315C"/>
                <w:sz w:val="21"/>
              </w:rPr>
              <w:t xml:space="preserve">▪  </w:t>
            </w:r>
            <w:r>
              <w:rPr>
                <w:rFonts w:ascii="Calibri" w:hAnsi="Calibri"/>
                <w:color w:val="222222"/>
                <w:sz w:val="21"/>
              </w:rPr>
              <w:t>Strategic Sourcing &amp; Procurement</w:t>
            </w:r>
          </w:p>
          <w:p>
            <w:pPr>
              <w:spacing w:before="0" w:after="80" w:line="276" w:lineRule="auto"/>
              <w:ind w:left="230"/>
            </w:pPr>
            <w:r>
              <w:rPr>
                <w:rFonts w:ascii="Calibri" w:hAnsi="Calibri"/>
                <w:color w:val="00315C"/>
                <w:sz w:val="21"/>
              </w:rPr>
              <w:t xml:space="preserve">▪  </w:t>
            </w:r>
            <w:r>
              <w:rPr>
                <w:rFonts w:ascii="Calibri" w:hAnsi="Calibri"/>
                <w:color w:val="222222"/>
                <w:sz w:val="21"/>
              </w:rPr>
              <w:t>Supplier / Vendor Management &amp; Negotiation</w:t>
            </w:r>
          </w:p>
          <w:p>
            <w:pPr>
              <w:spacing w:before="0" w:after="80" w:line="276" w:lineRule="auto"/>
              <w:ind w:left="230"/>
            </w:pPr>
            <w:r>
              <w:rPr>
                <w:rFonts w:ascii="Calibri" w:hAnsi="Calibri"/>
                <w:color w:val="00315C"/>
                <w:sz w:val="21"/>
              </w:rPr>
              <w:t xml:space="preserve">▪  </w:t>
            </w:r>
            <w:r>
              <w:rPr>
                <w:rFonts w:ascii="Calibri" w:hAnsi="Calibri"/>
                <w:color w:val="222222"/>
                <w:sz w:val="21"/>
              </w:rPr>
              <w:t>P&amp;L / Budget Ownership &amp; Cost Reduction (TCO)</w:t>
            </w:r>
          </w:p>
          <w:p>
            <w:pPr>
              <w:spacing w:before="0" w:after="80" w:line="276" w:lineRule="auto"/>
              <w:ind w:left="230"/>
            </w:pPr>
            <w:r>
              <w:rPr>
                <w:rFonts w:ascii="Calibri" w:hAnsi="Calibri"/>
                <w:color w:val="00315C"/>
                <w:sz w:val="21"/>
              </w:rPr>
              <w:t xml:space="preserve">▪  </w:t>
            </w:r>
            <w:r>
              <w:rPr>
                <w:rFonts w:ascii="Calibri" w:hAnsi="Calibri"/>
                <w:color w:val="222222"/>
                <w:sz w:val="21"/>
              </w:rPr>
              <w:t>Logistics, Warehousing &amp; Distribution</w:t>
            </w:r>
          </w:p>
          <w:p>
            <w:pPr>
              <w:spacing w:before="0" w:after="80" w:line="276" w:lineRule="auto"/>
              <w:ind w:left="230"/>
            </w:pPr>
            <w:r>
              <w:rPr>
                <w:rFonts w:ascii="Calibri" w:hAnsi="Calibri"/>
                <w:color w:val="00315C"/>
                <w:sz w:val="21"/>
              </w:rPr>
              <w:t xml:space="preserve">▪  </w:t>
            </w:r>
            <w:r>
              <w:rPr>
                <w:rFonts w:ascii="Calibri" w:hAnsi="Calibri"/>
                <w:color w:val="222222"/>
                <w:sz w:val="21"/>
              </w:rPr>
              <w:t>Inventory Optimization</w:t>
            </w:r>
          </w:p>
          <w:p>
            <w:pPr>
              <w:spacing w:before="0" w:after="80" w:line="276" w:lineRule="auto"/>
              <w:ind w:left="230"/>
            </w:pPr>
            <w:r>
              <w:rPr>
                <w:rFonts w:ascii="Calibri" w:hAnsi="Calibri"/>
                <w:color w:val="00315C"/>
                <w:sz w:val="21"/>
              </w:rPr>
              <w:t xml:space="preserve">▪  </w:t>
            </w:r>
            <w:r>
              <w:rPr>
                <w:rFonts w:ascii="Calibri" w:hAnsi="Calibri"/>
                <w:color w:val="222222"/>
                <w:sz w:val="21"/>
              </w:rPr>
              <w:t>Demand &amp; Supply Planning / S&amp;OP</w:t>
            </w:r>
          </w:p>
          <w:p>
            <w:pPr>
              <w:spacing w:before="0" w:after="80" w:line="276" w:lineRule="auto"/>
              <w:ind w:left="230"/>
            </w:pPr>
            <w:r>
              <w:rPr>
                <w:rFonts w:ascii="Calibri" w:hAnsi="Calibri"/>
                <w:color w:val="00315C"/>
                <w:sz w:val="21"/>
              </w:rPr>
              <w:t xml:space="preserve">▪  </w:t>
            </w:r>
            <w:r>
              <w:rPr>
                <w:rFonts w:ascii="Calibri" w:hAnsi="Calibri"/>
                <w:color w:val="222222"/>
                <w:sz w:val="21"/>
              </w:rPr>
              <w:t>Quality Management &amp; Compliance (FAR / DFARS)</w:t>
            </w:r>
          </w:p>
          <w:p>
            <w:pPr>
              <w:spacing w:before="0" w:after="80" w:line="276" w:lineRule="auto"/>
              <w:ind w:left="230"/>
            </w:pPr>
            <w:r>
              <w:rPr>
                <w:rFonts w:ascii="Calibri" w:hAnsi="Calibri"/>
                <w:color w:val="00315C"/>
                <w:sz w:val="21"/>
              </w:rPr>
              <w:t xml:space="preserve">▪  </w:t>
            </w:r>
            <w:r>
              <w:rPr>
                <w:rFonts w:ascii="Calibri" w:hAnsi="Calibri"/>
                <w:color w:val="222222"/>
                <w:sz w:val="21"/>
              </w:rPr>
              <w:t>Supply Chain Risk &amp; Resilience</w:t>
            </w:r>
          </w:p>
          <w:p>
            <w:pPr>
              <w:spacing w:before="0" w:after="80" w:line="276" w:lineRule="auto"/>
              <w:ind w:left="230"/>
            </w:pPr>
            <w:r>
              <w:rPr>
                <w:rFonts w:ascii="Calibri" w:hAnsi="Calibri"/>
                <w:color w:val="00315C"/>
                <w:sz w:val="21"/>
              </w:rPr>
              <w:t xml:space="preserve">▪  </w:t>
            </w:r>
            <w:r>
              <w:rPr>
                <w:rFonts w:ascii="Calibri" w:hAnsi="Calibri"/>
                <w:color w:val="222222"/>
                <w:sz w:val="21"/>
              </w:rPr>
              <w:t>ERP Systems (SAP / Oracle) &amp; Analytics</w:t>
            </w:r>
          </w:p>
          <w:p>
            <w:pPr>
              <w:spacing w:before="0" w:after="80" w:line="276" w:lineRule="auto"/>
              <w:ind w:left="230"/>
            </w:pPr>
            <w:r>
              <w:rPr>
                <w:rFonts w:ascii="Calibri" w:hAnsi="Calibri"/>
                <w:color w:val="00315C"/>
                <w:sz w:val="21"/>
              </w:rPr>
              <w:t xml:space="preserve">▪  </w:t>
            </w:r>
            <w:r>
              <w:rPr>
                <w:rFonts w:ascii="Calibri" w:hAnsi="Calibri"/>
                <w:color w:val="222222"/>
                <w:sz w:val="21"/>
              </w:rPr>
              <w:t>KPI &amp; Dashboard Governance</w:t>
            </w:r>
          </w:p>
          <w:p>
            <w:pPr>
              <w:spacing w:before="0" w:after="80" w:line="276" w:lineRule="auto"/>
              <w:ind w:left="230"/>
            </w:pPr>
            <w:r>
              <w:rPr>
                <w:rFonts w:ascii="Calibri" w:hAnsi="Calibri"/>
                <w:color w:val="00315C"/>
                <w:sz w:val="21"/>
              </w:rPr>
              <w:t xml:space="preserve">▪  </w:t>
            </w:r>
            <w:r>
              <w:rPr>
                <w:rFonts w:ascii="Calibri" w:hAnsi="Calibri"/>
                <w:color w:val="222222"/>
                <w:sz w:val="21"/>
              </w:rPr>
              <w:t>Federal Contracting / NAICS 541614 / Key Personnel</w:t>
            </w:r>
          </w:p>
          <w:p>
            <w:pPr>
              <w:spacing w:before="0" w:after="80" w:line="276" w:lineRule="auto"/>
              <w:ind w:left="230"/>
            </w:pPr>
            <w:r>
              <w:rPr>
                <w:rFonts w:ascii="Calibri" w:hAnsi="Calibri"/>
                <w:color w:val="00315C"/>
                <w:sz w:val="21"/>
              </w:rPr>
              <w:t xml:space="preserve">▪  </w:t>
            </w:r>
            <w:r>
              <w:rPr>
                <w:rFonts w:ascii="Calibri" w:hAnsi="Calibri"/>
                <w:color w:val="222222"/>
                <w:sz w:val="21"/>
              </w:rPr>
              <w:t>Cross-Functional Leadership &amp; Team Building</w:t>
            </w:r>
          </w:p>
          <w:p>
            <w:pPr>
              <w:spacing w:before="240" w:after="80" w:line="276" w:lineRule="auto"/>
              <w:pBdr>
                <w:bottom w:val="single" w:sz="8" w:space="2" w:color="00315C"/>
              </w:pBdr>
            </w:pPr>
            <w:r>
              <w:rPr>
                <w:rFonts w:ascii="Calibri" w:hAnsi="Calibri"/>
                <w:b/>
                <w:i w:val="0"/>
                <w:color w:val="00315C"/>
                <w:sz w:val="27"/>
              </w:rPr>
              <w:t>SELECTED SUPPLY CHAIN OUTCOMES</w:t>
            </w:r>
          </w:p>
          <w:p>
            <w:pPr>
              <w:spacing w:before="0" w:after="80" w:line="276" w:lineRule="auto"/>
              <w:ind w:left="230"/>
            </w:pPr>
            <w:r>
              <w:rPr>
                <w:rFonts w:ascii="Calibri" w:hAnsi="Calibri"/>
                <w:color w:val="00315C"/>
                <w:sz w:val="21"/>
              </w:rPr>
              <w:t xml:space="preserve">▪  </w:t>
            </w:r>
            <w:r>
              <w:rPr>
                <w:rFonts w:ascii="Calibri" w:hAnsi="Calibri"/>
                <w:color w:val="222222"/>
                <w:sz w:val="21"/>
              </w:rPr>
              <w:t>Cut supply chain cost by reducing waste, surplus inventory, and shipping delays through strategic sourcing and vendor consolidation.</w:t>
            </w:r>
          </w:p>
          <w:p>
            <w:pPr>
              <w:spacing w:before="0" w:after="80" w:line="276" w:lineRule="auto"/>
              <w:ind w:left="230"/>
            </w:pPr>
            <w:r>
              <w:rPr>
                <w:rFonts w:ascii="Calibri" w:hAnsi="Calibri"/>
                <w:color w:val="00315C"/>
                <w:sz w:val="21"/>
              </w:rPr>
              <w:t xml:space="preserve">▪  </w:t>
            </w:r>
            <w:r>
              <w:rPr>
                <w:rFonts w:ascii="Calibri" w:hAnsi="Calibri"/>
                <w:color w:val="222222"/>
                <w:sz w:val="21"/>
              </w:rPr>
              <w:t>Improved on-time-in-full (OTIF) delivery through logistics and distribution-network optimization.</w:t>
            </w:r>
          </w:p>
          <w:p>
            <w:pPr>
              <w:spacing w:before="0" w:after="80" w:line="276" w:lineRule="auto"/>
              <w:ind w:left="230"/>
            </w:pPr>
            <w:r>
              <w:rPr>
                <w:rFonts w:ascii="Calibri" w:hAnsi="Calibri"/>
                <w:color w:val="00315C"/>
                <w:sz w:val="21"/>
              </w:rPr>
              <w:t xml:space="preserve">▪  </w:t>
            </w:r>
            <w:r>
              <w:rPr>
                <w:rFonts w:ascii="Calibri" w:hAnsi="Calibri"/>
                <w:color w:val="222222"/>
                <w:sz w:val="21"/>
              </w:rPr>
              <w:t>Mitigated global disruptions, supplier failures, and cyber threats with business-continuity and supplier-risk plans.</w:t>
            </w:r>
          </w:p>
          <w:p>
            <w:pPr>
              <w:spacing w:before="0" w:after="80" w:line="276" w:lineRule="auto"/>
              <w:ind w:left="230"/>
            </w:pPr>
            <w:r>
              <w:rPr>
                <w:rFonts w:ascii="Calibri" w:hAnsi="Calibri"/>
                <w:color w:val="00315C"/>
                <w:sz w:val="21"/>
              </w:rPr>
              <w:t xml:space="preserve">▪  </w:t>
            </w:r>
            <w:r>
              <w:rPr>
                <w:rFonts w:ascii="Calibri" w:hAnsi="Calibri"/>
                <w:color w:val="222222"/>
                <w:sz w:val="21"/>
              </w:rPr>
              <w:t>Aligned material flow and supplier frameworks with corporate and mission goals, including federal contracting under NAICS 541614.</w:t>
            </w:r>
          </w:p>
          <w:p>
            <w:pPr>
              <w:spacing w:before="240" w:after="80" w:line="276" w:lineRule="auto"/>
              <w:pBdr>
                <w:bottom w:val="single" w:sz="8" w:space="2" w:color="00315C"/>
              </w:pBdr>
            </w:pPr>
            <w:r>
              <w:rPr>
                <w:rFonts w:ascii="Calibri" w:hAnsi="Calibri"/>
                <w:b/>
                <w:i w:val="0"/>
                <w:color w:val="00315C"/>
                <w:sz w:val="27"/>
              </w:rPr>
              <w:t>PROFESSIONAL EXPERIENCE</w:t>
            </w:r>
          </w:p>
          <w:p>
            <w:pPr>
              <w:spacing w:before="180" w:after="0" w:line="276" w:lineRule="auto"/>
            </w:pPr>
            <w:r>
              <w:rPr>
                <w:rFonts w:ascii="Calibri" w:hAnsi="Calibri"/>
                <w:b/>
                <w:i w:val="0"/>
                <w:color w:val="222222"/>
                <w:sz w:val="23"/>
              </w:rPr>
              <w:t>Chief Supply Chain Officer (CSCO)</w:t>
            </w:r>
          </w:p>
          <w:p>
            <w:pPr>
              <w:spacing w:before="0" w:after="40"/>
            </w:pPr>
            <w:r>
              <w:rPr>
                <w:rFonts w:ascii="Calibri" w:hAnsi="Calibri"/>
                <w:i/>
                <w:color w:val="555555"/>
                <w:sz w:val="19"/>
              </w:rPr>
              <w:t>Albright Laboratories LLC | Germantown, MD</w:t>
            </w:r>
            <w:r>
              <w:rPr>
                <w:rFonts w:ascii="Calibri" w:hAnsi="Calibri"/>
                <w:b/>
                <w:color w:val="00315C"/>
                <w:sz w:val="19"/>
              </w:rPr>
              <w:t xml:space="preserve">   Jun 2017 – Present</w:t>
            </w:r>
          </w:p>
          <w:p>
            <w:pPr>
              <w:spacing w:before="0" w:after="40" w:line="276" w:lineRule="auto"/>
            </w:pPr>
            <w:r>
              <w:rPr>
                <w:rFonts w:ascii="Calibri" w:hAnsi="Calibri"/>
                <w:b w:val="0"/>
                <w:i/>
                <w:color w:val="555555"/>
                <w:sz w:val="20"/>
              </w:rPr>
              <w:t>Promoted from Supply Chain Intern after one year; nine years leading the end-to-end supply chain.</w:t>
            </w:r>
          </w:p>
          <w:p>
            <w:pPr>
              <w:spacing w:before="0" w:after="80" w:line="276" w:lineRule="auto"/>
              <w:ind w:left="230"/>
            </w:pPr>
            <w:r>
              <w:rPr>
                <w:rFonts w:ascii="Calibri" w:hAnsi="Calibri"/>
                <w:color w:val="00315C"/>
                <w:sz w:val="21"/>
              </w:rPr>
              <w:t xml:space="preserve">▪  </w:t>
            </w:r>
            <w:r>
              <w:rPr>
                <w:rFonts w:ascii="Calibri" w:hAnsi="Calibri"/>
                <w:color w:val="222222"/>
                <w:sz w:val="21"/>
              </w:rPr>
              <w:t>Own the end-to-end supply chain — plan, source, make, deliver, and returns — aligning material flow and supplier frameworks with corporate and mission goals.</w:t>
            </w:r>
          </w:p>
          <w:p>
            <w:pPr>
              <w:spacing w:before="0" w:after="80" w:line="276" w:lineRule="auto"/>
              <w:ind w:left="230"/>
            </w:pPr>
            <w:r>
              <w:rPr>
                <w:rFonts w:ascii="Calibri" w:hAnsi="Calibri"/>
                <w:color w:val="00315C"/>
                <w:sz w:val="21"/>
              </w:rPr>
              <w:t xml:space="preserve">▪  </w:t>
            </w:r>
            <w:r>
              <w:rPr>
                <w:rFonts w:ascii="Calibri" w:hAnsi="Calibri"/>
                <w:color w:val="222222"/>
                <w:sz w:val="21"/>
              </w:rPr>
              <w:t>Hold P&amp;L and operating-budget ownership; drive cost reduction, margin improvement, and total-cost-of-ownership (TCO) gains through strategic sourcing and vendor consolidation.</w:t>
            </w:r>
          </w:p>
          <w:p>
            <w:pPr>
              <w:spacing w:before="0" w:after="80" w:line="276" w:lineRule="auto"/>
              <w:ind w:left="230"/>
            </w:pPr>
            <w:r>
              <w:rPr>
                <w:rFonts w:ascii="Calibri" w:hAnsi="Calibri"/>
                <w:color w:val="00315C"/>
                <w:sz w:val="21"/>
              </w:rPr>
              <w:t xml:space="preserve">▪  </w:t>
            </w:r>
            <w:r>
              <w:rPr>
                <w:rFonts w:ascii="Calibri" w:hAnsi="Calibri"/>
                <w:color w:val="222222"/>
                <w:sz w:val="21"/>
              </w:rPr>
              <w:t>Lead strategic sourcing, supplier selection, contract management, and vendor negotiation; maintain supplier scorecards, qualification, and procurement compliance.</w:t>
            </w:r>
          </w:p>
          <w:p>
            <w:pPr>
              <w:spacing w:before="0" w:after="80" w:line="276" w:lineRule="auto"/>
              <w:ind w:left="230"/>
            </w:pPr>
            <w:r>
              <w:rPr>
                <w:rFonts w:ascii="Calibri" w:hAnsi="Calibri"/>
                <w:color w:val="00315C"/>
                <w:sz w:val="21"/>
              </w:rPr>
              <w:t xml:space="preserve">▪  </w:t>
            </w:r>
            <w:r>
              <w:rPr>
                <w:rFonts w:ascii="Calibri" w:hAnsi="Calibri"/>
                <w:color w:val="222222"/>
                <w:sz w:val="21"/>
              </w:rPr>
              <w:t>Direct warehousing, freight and transportation, 3PL / 4PL partners, and inbound / outbound logistics; improve OTIF delivery and optimize the distribution network.</w:t>
            </w:r>
          </w:p>
          <w:p>
            <w:pPr>
              <w:spacing w:before="0" w:after="80" w:line="276" w:lineRule="auto"/>
              <w:ind w:left="230"/>
            </w:pPr>
            <w:r>
              <w:rPr>
                <w:rFonts w:ascii="Calibri" w:hAnsi="Calibri"/>
                <w:color w:val="00315C"/>
                <w:sz w:val="21"/>
              </w:rPr>
              <w:t xml:space="preserve">▪  </w:t>
            </w:r>
            <w:r>
              <w:rPr>
                <w:rFonts w:ascii="Calibri" w:hAnsi="Calibri"/>
                <w:color w:val="222222"/>
                <w:sz w:val="21"/>
              </w:rPr>
              <w:t>Own Sales &amp; Operations Planning (S&amp;OP), demand and supply planning, inventory optimization, and capacity planning.</w:t>
            </w:r>
          </w:p>
          <w:p>
            <w:pPr>
              <w:spacing w:before="0" w:after="80" w:line="276" w:lineRule="auto"/>
              <w:ind w:left="230"/>
            </w:pPr>
            <w:r>
              <w:rPr>
                <w:rFonts w:ascii="Calibri" w:hAnsi="Calibri"/>
                <w:color w:val="00315C"/>
                <w:sz w:val="21"/>
              </w:rPr>
              <w:t xml:space="preserve">▪  </w:t>
            </w:r>
            <w:r>
              <w:rPr>
                <w:rFonts w:ascii="Calibri" w:hAnsi="Calibri"/>
                <w:color w:val="222222"/>
                <w:sz w:val="21"/>
              </w:rPr>
              <w:t>Manage supply chain risk — global disruptions, supplier failures, and cyber threats — with business-continuity and supplier-risk plans.</w:t>
            </w:r>
          </w:p>
          <w:p>
            <w:pPr>
              <w:spacing w:before="0" w:after="80" w:line="276" w:lineRule="auto"/>
              <w:ind w:left="230"/>
            </w:pPr>
            <w:r>
              <w:rPr>
                <w:rFonts w:ascii="Calibri" w:hAnsi="Calibri"/>
                <w:color w:val="00315C"/>
                <w:sz w:val="21"/>
              </w:rPr>
              <w:t xml:space="preserve">▪  </w:t>
            </w:r>
            <w:r>
              <w:rPr>
                <w:rFonts w:ascii="Calibri" w:hAnsi="Calibri"/>
                <w:color w:val="222222"/>
                <w:sz w:val="21"/>
              </w:rPr>
              <w:t>Lead ERP implementation (SAP / Oracle) and advanced planning systems; set KPI and dashboard governance for data-driven decisions.</w:t>
            </w:r>
          </w:p>
          <w:p>
            <w:pPr>
              <w:spacing w:before="0" w:after="80" w:line="276" w:lineRule="auto"/>
              <w:ind w:left="230"/>
            </w:pPr>
            <w:r>
              <w:rPr>
                <w:rFonts w:ascii="Calibri" w:hAnsi="Calibri"/>
                <w:color w:val="00315C"/>
                <w:sz w:val="21"/>
              </w:rPr>
              <w:t xml:space="preserve">▪  </w:t>
            </w:r>
            <w:r>
              <w:rPr>
                <w:rFonts w:ascii="Calibri" w:hAnsi="Calibri"/>
                <w:color w:val="222222"/>
                <w:sz w:val="21"/>
              </w:rPr>
              <w:t>Provide quality-management oversight and maintain FAR / DFARS regulatory and contractual compliance, aligned to NAICS 541614 and the company's SAM.gov registration.</w:t>
            </w:r>
          </w:p>
          <w:p>
            <w:pPr>
              <w:spacing w:before="0" w:after="80" w:line="276" w:lineRule="auto"/>
              <w:ind w:left="230"/>
            </w:pPr>
            <w:r>
              <w:rPr>
                <w:rFonts w:ascii="Calibri" w:hAnsi="Calibri"/>
                <w:color w:val="00315C"/>
                <w:sz w:val="21"/>
              </w:rPr>
              <w:t xml:space="preserve">▪  </w:t>
            </w:r>
            <w:r>
              <w:rPr>
                <w:rFonts w:ascii="Calibri" w:hAnsi="Calibri"/>
                <w:color w:val="222222"/>
                <w:sz w:val="21"/>
              </w:rPr>
              <w:t>Serve as proposed Key Personnel on federal opportunities, mapping qualifications to each solicitation's requirements.</w:t>
            </w:r>
          </w:p>
          <w:p>
            <w:pPr>
              <w:spacing w:before="0" w:after="80" w:line="276" w:lineRule="auto"/>
              <w:ind w:left="230"/>
            </w:pPr>
            <w:r>
              <w:rPr>
                <w:rFonts w:ascii="Calibri" w:hAnsi="Calibri"/>
                <w:color w:val="00315C"/>
                <w:sz w:val="21"/>
              </w:rPr>
              <w:t xml:space="preserve">▪  </w:t>
            </w:r>
            <w:r>
              <w:rPr>
                <w:rFonts w:ascii="Calibri" w:hAnsi="Calibri"/>
                <w:color w:val="222222"/>
                <w:sz w:val="21"/>
              </w:rPr>
              <w:t>Build and lead cross-functional teams and mentor talent from the floor up.</w:t>
            </w:r>
          </w:p>
          <w:p>
            <w:pPr>
              <w:spacing w:before="180" w:after="0" w:line="276" w:lineRule="auto"/>
            </w:pPr>
            <w:r>
              <w:rPr>
                <w:rFonts w:ascii="Calibri" w:hAnsi="Calibri"/>
                <w:b/>
                <w:i w:val="0"/>
                <w:color w:val="222222"/>
                <w:sz w:val="23"/>
              </w:rPr>
              <w:t>Supply Chain Intern</w:t>
            </w:r>
          </w:p>
          <w:p>
            <w:pPr>
              <w:spacing w:before="0" w:after="40"/>
            </w:pPr>
            <w:r>
              <w:rPr>
                <w:rFonts w:ascii="Calibri" w:hAnsi="Calibri"/>
                <w:i/>
                <w:color w:val="555555"/>
                <w:sz w:val="19"/>
              </w:rPr>
              <w:t>Albright Laboratories LLC | Germantown, MD</w:t>
            </w:r>
            <w:r>
              <w:rPr>
                <w:rFonts w:ascii="Calibri" w:hAnsi="Calibri"/>
                <w:b/>
                <w:color w:val="00315C"/>
                <w:sz w:val="19"/>
              </w:rPr>
              <w:t xml:space="preserve">   Jun 2016 – Jun 2017</w:t>
            </w:r>
          </w:p>
          <w:p>
            <w:pPr>
              <w:spacing w:before="0" w:after="80" w:line="276" w:lineRule="auto"/>
              <w:ind w:left="230"/>
            </w:pPr>
            <w:r>
              <w:rPr>
                <w:rFonts w:ascii="Calibri" w:hAnsi="Calibri"/>
                <w:color w:val="00315C"/>
                <w:sz w:val="21"/>
              </w:rPr>
              <w:t xml:space="preserve">▪  </w:t>
            </w:r>
            <w:r>
              <w:rPr>
                <w:rFonts w:ascii="Calibri" w:hAnsi="Calibri"/>
                <w:color w:val="222222"/>
                <w:sz w:val="21"/>
              </w:rPr>
              <w:t>Learned the supply chain from the floor up — supported purchasing, inventory control, vendor communication, data entry, and reporting.</w:t>
            </w:r>
          </w:p>
          <w:p>
            <w:pPr>
              <w:spacing w:before="0" w:after="80" w:line="276" w:lineRule="auto"/>
              <w:ind w:left="230"/>
            </w:pPr>
            <w:r>
              <w:rPr>
                <w:rFonts w:ascii="Calibri" w:hAnsi="Calibri"/>
                <w:color w:val="00315C"/>
                <w:sz w:val="21"/>
              </w:rPr>
              <w:t xml:space="preserve">▪  </w:t>
            </w:r>
            <w:r>
              <w:rPr>
                <w:rFonts w:ascii="Calibri" w:hAnsi="Calibri"/>
                <w:color w:val="222222"/>
                <w:sz w:val="21"/>
              </w:rPr>
              <w:t>Assisted with purchase orders, requisitions, receiving reconciliation, and ERP data entry.</w:t>
            </w:r>
          </w:p>
          <w:p>
            <w:pPr>
              <w:spacing w:before="0" w:after="80" w:line="276" w:lineRule="auto"/>
              <w:ind w:left="230"/>
            </w:pPr>
            <w:r>
              <w:rPr>
                <w:rFonts w:ascii="Calibri" w:hAnsi="Calibri"/>
                <w:color w:val="00315C"/>
                <w:sz w:val="21"/>
              </w:rPr>
              <w:t xml:space="preserve">▪  </w:t>
            </w:r>
            <w:r>
              <w:rPr>
                <w:rFonts w:ascii="Calibri" w:hAnsi="Calibri"/>
                <w:color w:val="222222"/>
                <w:sz w:val="21"/>
              </w:rPr>
              <w:t>Built the operational foundation that led to promotion into the Chief Supply Chain Officer role.</w:t>
            </w:r>
          </w:p>
          <w:p>
            <w:pPr>
              <w:spacing w:before="240" w:after="80" w:line="276" w:lineRule="auto"/>
              <w:pBdr>
                <w:bottom w:val="single" w:sz="8" w:space="2" w:color="00315C"/>
              </w:pBdr>
            </w:pPr>
            <w:r>
              <w:rPr>
                <w:rFonts w:ascii="Calibri" w:hAnsi="Calibri"/>
                <w:b/>
                <w:i w:val="0"/>
                <w:color w:val="00315C"/>
                <w:sz w:val="27"/>
              </w:rPr>
              <w:t>CONCURRENT EXPERIENCE — PROPERTY MANAGEMENT (SECOND JOB)</w:t>
            </w:r>
          </w:p>
          <w:p>
            <w:pPr>
              <w:spacing w:before="0" w:after="60" w:line="276" w:lineRule="auto"/>
            </w:pPr>
            <w:r>
              <w:rPr>
                <w:rFonts w:ascii="Calibri" w:hAnsi="Calibri"/>
                <w:b w:val="0"/>
                <w:i/>
                <w:color w:val="555555"/>
                <w:sz w:val="19"/>
              </w:rPr>
              <w:t>Part-time / second-job employment held concurrently with the Albright Laboratories role above.</w:t>
            </w:r>
          </w:p>
          <w:p>
            <w:pPr>
              <w:spacing w:before="180" w:after="0" w:line="276" w:lineRule="auto"/>
            </w:pPr>
            <w:r>
              <w:rPr>
                <w:rFonts w:ascii="Calibri" w:hAnsi="Calibri"/>
                <w:b/>
                <w:i w:val="0"/>
                <w:color w:val="222222"/>
                <w:sz w:val="23"/>
              </w:rPr>
              <w:t>Community Coordinator</w:t>
            </w:r>
          </w:p>
          <w:p>
            <w:pPr>
              <w:spacing w:before="0" w:after="40"/>
            </w:pPr>
            <w:r>
              <w:rPr>
                <w:rFonts w:ascii="Calibri" w:hAnsi="Calibri"/>
                <w:i/>
                <w:color w:val="555555"/>
                <w:sz w:val="19"/>
              </w:rPr>
              <w:t>Orlo Management – Seneca Village | Gaithersburg, MD</w:t>
            </w:r>
            <w:r>
              <w:rPr>
                <w:rFonts w:ascii="Calibri" w:hAnsi="Calibri"/>
                <w:b/>
                <w:color w:val="00315C"/>
                <w:sz w:val="19"/>
              </w:rPr>
              <w:t xml:space="preserve">   Dec 2023 – Present</w:t>
            </w:r>
          </w:p>
          <w:p>
            <w:pPr>
              <w:spacing w:before="0" w:after="40" w:line="276" w:lineRule="auto"/>
            </w:pPr>
            <w:r>
              <w:rPr>
                <w:rFonts w:ascii="Calibri" w:hAnsi="Calibri"/>
                <w:b w:val="0"/>
                <w:i/>
                <w:color w:val="555555"/>
                <w:sz w:val="20"/>
              </w:rPr>
              <w:t>Promoted from Leasing Consultant within one year in recognition of strong performance and leadership.</w:t>
            </w:r>
          </w:p>
          <w:p>
            <w:pPr>
              <w:spacing w:before="0" w:after="80" w:line="276" w:lineRule="auto"/>
              <w:ind w:left="230"/>
            </w:pPr>
            <w:r>
              <w:rPr>
                <w:rFonts w:ascii="Calibri" w:hAnsi="Calibri"/>
                <w:color w:val="00315C"/>
                <w:sz w:val="21"/>
              </w:rPr>
              <w:t xml:space="preserve">▪  </w:t>
            </w:r>
            <w:r>
              <w:rPr>
                <w:rFonts w:ascii="Calibri" w:hAnsi="Calibri"/>
                <w:color w:val="222222"/>
                <w:sz w:val="21"/>
              </w:rPr>
              <w:t>Oversee daily community operations, resident relations, apartment readiness, inspections, vendor coordination, and capital improvement projects.</w:t>
            </w:r>
          </w:p>
          <w:p>
            <w:pPr>
              <w:spacing w:before="0" w:after="80" w:line="276" w:lineRule="auto"/>
              <w:ind w:left="230"/>
            </w:pPr>
            <w:r>
              <w:rPr>
                <w:rFonts w:ascii="Calibri" w:hAnsi="Calibri"/>
                <w:color w:val="00315C"/>
                <w:sz w:val="21"/>
              </w:rPr>
              <w:t xml:space="preserve">▪  </w:t>
            </w:r>
            <w:r>
              <w:rPr>
                <w:rFonts w:ascii="Calibri" w:hAnsi="Calibri"/>
                <w:color w:val="222222"/>
                <w:sz w:val="21"/>
              </w:rPr>
              <w:t>Conduct detailed move-out and pre-move-in inspections to evaluate apartment conditions, identify maintenance needs, and ensure compliance with company standards.</w:t>
            </w:r>
          </w:p>
          <w:p>
            <w:pPr>
              <w:spacing w:before="0" w:after="80" w:line="276" w:lineRule="auto"/>
              <w:ind w:left="230"/>
            </w:pPr>
            <w:r>
              <w:rPr>
                <w:rFonts w:ascii="Calibri" w:hAnsi="Calibri"/>
                <w:color w:val="00315C"/>
                <w:sz w:val="21"/>
              </w:rPr>
              <w:t xml:space="preserve">▪  </w:t>
            </w:r>
            <w:r>
              <w:rPr>
                <w:rFonts w:ascii="Calibri" w:hAnsi="Calibri"/>
                <w:color w:val="222222"/>
                <w:sz w:val="21"/>
              </w:rPr>
              <w:t>Coordinate and monitor contractors and vendors for repairs, renovations, and property improvement projects while ensuring quality, accuracy, and timely completion.</w:t>
            </w:r>
          </w:p>
          <w:p>
            <w:pPr>
              <w:spacing w:before="0" w:after="80" w:line="276" w:lineRule="auto"/>
              <w:ind w:left="230"/>
            </w:pPr>
            <w:r>
              <w:rPr>
                <w:rFonts w:ascii="Calibri" w:hAnsi="Calibri"/>
                <w:color w:val="00315C"/>
                <w:sz w:val="21"/>
              </w:rPr>
              <w:t xml:space="preserve">▪  </w:t>
            </w:r>
            <w:r>
              <w:rPr>
                <w:rFonts w:ascii="Calibri" w:hAnsi="Calibri"/>
                <w:color w:val="222222"/>
                <w:sz w:val="21"/>
              </w:rPr>
              <w:t>Track apartment turnovers, work orders, renovations, and maintenance requests to support successful resident move-ins and occupancy goals.</w:t>
            </w:r>
          </w:p>
          <w:p>
            <w:pPr>
              <w:spacing w:before="0" w:after="80" w:line="276" w:lineRule="auto"/>
              <w:ind w:left="230"/>
            </w:pPr>
            <w:r>
              <w:rPr>
                <w:rFonts w:ascii="Calibri" w:hAnsi="Calibri"/>
                <w:color w:val="00315C"/>
                <w:sz w:val="21"/>
              </w:rPr>
              <w:t xml:space="preserve">▪  </w:t>
            </w:r>
            <w:r>
              <w:rPr>
                <w:rFonts w:ascii="Calibri" w:hAnsi="Calibri"/>
                <w:color w:val="222222"/>
                <w:sz w:val="21"/>
              </w:rPr>
              <w:t>Respond to resident concerns and service requests, providing timely resolutions while maintaining positive resident relationships.</w:t>
            </w:r>
          </w:p>
          <w:p>
            <w:pPr>
              <w:spacing w:before="0" w:after="80" w:line="276" w:lineRule="auto"/>
              <w:ind w:left="230"/>
            </w:pPr>
            <w:r>
              <w:rPr>
                <w:rFonts w:ascii="Calibri" w:hAnsi="Calibri"/>
                <w:color w:val="00315C"/>
                <w:sz w:val="21"/>
              </w:rPr>
              <w:t xml:space="preserve">▪  </w:t>
            </w:r>
            <w:r>
              <w:rPr>
                <w:rFonts w:ascii="Calibri" w:hAnsi="Calibri"/>
                <w:color w:val="222222"/>
                <w:sz w:val="21"/>
              </w:rPr>
              <w:t>Maintain effective communication with residents, vendors, and management to ensure efficient property operations.</w:t>
            </w:r>
          </w:p>
          <w:p>
            <w:pPr>
              <w:spacing w:before="0" w:after="80" w:line="276" w:lineRule="auto"/>
              <w:ind w:left="230"/>
            </w:pPr>
            <w:r>
              <w:rPr>
                <w:rFonts w:ascii="Calibri" w:hAnsi="Calibri"/>
                <w:color w:val="00315C"/>
                <w:sz w:val="21"/>
              </w:rPr>
              <w:t xml:space="preserve">▪  </w:t>
            </w:r>
            <w:r>
              <w:rPr>
                <w:rFonts w:ascii="Calibri" w:hAnsi="Calibri"/>
                <w:color w:val="222222"/>
                <w:sz w:val="21"/>
              </w:rPr>
              <w:t>Plan and coordinate resident events and community initiatives to increase engagement and create a welcoming environment.</w:t>
            </w:r>
          </w:p>
          <w:p>
            <w:pPr>
              <w:spacing w:before="0" w:after="80" w:line="276" w:lineRule="auto"/>
              <w:ind w:left="230"/>
            </w:pPr>
            <w:r>
              <w:rPr>
                <w:rFonts w:ascii="Calibri" w:hAnsi="Calibri"/>
                <w:color w:val="00315C"/>
                <w:sz w:val="21"/>
              </w:rPr>
              <w:t xml:space="preserve">▪  </w:t>
            </w:r>
            <w:r>
              <w:rPr>
                <w:rFonts w:ascii="Calibri" w:hAnsi="Calibri"/>
                <w:color w:val="222222"/>
                <w:sz w:val="21"/>
              </w:rPr>
              <w:t>Maintain accurate records, reports, inspection documentation, vendor communications, and operational updates.</w:t>
            </w:r>
          </w:p>
          <w:p>
            <w:pPr>
              <w:spacing w:before="180" w:after="0" w:line="276" w:lineRule="auto"/>
            </w:pPr>
            <w:r>
              <w:rPr>
                <w:rFonts w:ascii="Calibri" w:hAnsi="Calibri"/>
                <w:b/>
                <w:i w:val="0"/>
                <w:color w:val="222222"/>
                <w:sz w:val="23"/>
              </w:rPr>
              <w:t>Leasing Consultant</w:t>
            </w:r>
          </w:p>
          <w:p>
            <w:pPr>
              <w:spacing w:before="0" w:after="40"/>
            </w:pPr>
            <w:r>
              <w:rPr>
                <w:rFonts w:ascii="Calibri" w:hAnsi="Calibri"/>
                <w:i/>
                <w:color w:val="555555"/>
                <w:sz w:val="19"/>
              </w:rPr>
              <w:t>Orlo Management – Seneca Village | Gaithersburg, MD</w:t>
            </w:r>
            <w:r>
              <w:rPr>
                <w:rFonts w:ascii="Calibri" w:hAnsi="Calibri"/>
                <w:b/>
                <w:color w:val="00315C"/>
                <w:sz w:val="19"/>
              </w:rPr>
              <w:t xml:space="preserve">   Jan 2023 – Dec 2023</w:t>
            </w:r>
          </w:p>
          <w:p>
            <w:pPr>
              <w:spacing w:before="0" w:after="80" w:line="276" w:lineRule="auto"/>
              <w:ind w:left="230"/>
            </w:pPr>
            <w:r>
              <w:rPr>
                <w:rFonts w:ascii="Calibri" w:hAnsi="Calibri"/>
                <w:color w:val="00315C"/>
                <w:sz w:val="21"/>
              </w:rPr>
              <w:t xml:space="preserve">▪  </w:t>
            </w:r>
            <w:r>
              <w:rPr>
                <w:rFonts w:ascii="Calibri" w:hAnsi="Calibri"/>
                <w:color w:val="222222"/>
                <w:sz w:val="21"/>
              </w:rPr>
              <w:t>Communicated with prospective residents through phone, email, and follow-ups to schedule appointments and provide leasing information.</w:t>
            </w:r>
          </w:p>
          <w:p>
            <w:pPr>
              <w:spacing w:before="0" w:after="80" w:line="276" w:lineRule="auto"/>
              <w:ind w:left="230"/>
            </w:pPr>
            <w:r>
              <w:rPr>
                <w:rFonts w:ascii="Calibri" w:hAnsi="Calibri"/>
                <w:color w:val="00315C"/>
                <w:sz w:val="21"/>
              </w:rPr>
              <w:t xml:space="preserve">▪  </w:t>
            </w:r>
            <w:r>
              <w:rPr>
                <w:rFonts w:ascii="Calibri" w:hAnsi="Calibri"/>
                <w:color w:val="222222"/>
                <w:sz w:val="21"/>
              </w:rPr>
              <w:t>Processed rental applications, credit screenings, background checks, and resident verifications to determine applicant qualifications.</w:t>
            </w:r>
          </w:p>
          <w:p>
            <w:pPr>
              <w:spacing w:before="0" w:after="80" w:line="276" w:lineRule="auto"/>
              <w:ind w:left="230"/>
            </w:pPr>
            <w:r>
              <w:rPr>
                <w:rFonts w:ascii="Calibri" w:hAnsi="Calibri"/>
                <w:color w:val="00315C"/>
                <w:sz w:val="21"/>
              </w:rPr>
              <w:t xml:space="preserve">▪  </w:t>
            </w:r>
            <w:r>
              <w:rPr>
                <w:rFonts w:ascii="Calibri" w:hAnsi="Calibri"/>
                <w:color w:val="222222"/>
                <w:sz w:val="21"/>
              </w:rPr>
              <w:t>Conducted tours of model apartments, vacant units, amenities, and community spaces while maintaining a market-ready presentation.</w:t>
            </w:r>
          </w:p>
          <w:p>
            <w:pPr>
              <w:spacing w:before="0" w:after="80" w:line="276" w:lineRule="auto"/>
              <w:ind w:left="230"/>
            </w:pPr>
            <w:r>
              <w:rPr>
                <w:rFonts w:ascii="Calibri" w:hAnsi="Calibri"/>
                <w:color w:val="00315C"/>
                <w:sz w:val="21"/>
              </w:rPr>
              <w:t xml:space="preserve">▪  </w:t>
            </w:r>
            <w:r>
              <w:rPr>
                <w:rFonts w:ascii="Calibri" w:hAnsi="Calibri"/>
                <w:color w:val="222222"/>
                <w:sz w:val="21"/>
              </w:rPr>
              <w:t>Completed apartment inspections and verified unit readiness, keys, and documentation prior to resident move-ins.</w:t>
            </w:r>
          </w:p>
          <w:p>
            <w:pPr>
              <w:spacing w:before="0" w:after="80" w:line="276" w:lineRule="auto"/>
              <w:ind w:left="230"/>
            </w:pPr>
            <w:r>
              <w:rPr>
                <w:rFonts w:ascii="Calibri" w:hAnsi="Calibri"/>
                <w:color w:val="00315C"/>
                <w:sz w:val="21"/>
              </w:rPr>
              <w:t xml:space="preserve">▪  </w:t>
            </w:r>
            <w:r>
              <w:rPr>
                <w:rFonts w:ascii="Calibri" w:hAnsi="Calibri"/>
                <w:color w:val="222222"/>
                <w:sz w:val="21"/>
              </w:rPr>
              <w:t>Assisted with marketing campaigns, promotional programs, and resident events to increase traffic and support occupancy goals.</w:t>
            </w:r>
          </w:p>
          <w:p>
            <w:pPr>
              <w:spacing w:before="0" w:after="80" w:line="276" w:lineRule="auto"/>
              <w:ind w:left="230"/>
            </w:pPr>
            <w:r>
              <w:rPr>
                <w:rFonts w:ascii="Calibri" w:hAnsi="Calibri"/>
                <w:color w:val="00315C"/>
                <w:sz w:val="21"/>
              </w:rPr>
              <w:t xml:space="preserve">▪  </w:t>
            </w:r>
            <w:r>
              <w:rPr>
                <w:rFonts w:ascii="Calibri" w:hAnsi="Calibri"/>
                <w:color w:val="222222"/>
                <w:sz w:val="21"/>
              </w:rPr>
              <w:t>Prepared weekly marketing reports and competitive market analysis to monitor rental rates, specials, and competitor activity.</w:t>
            </w:r>
          </w:p>
          <w:p>
            <w:pPr>
              <w:spacing w:before="0" w:after="80" w:line="276" w:lineRule="auto"/>
              <w:ind w:left="230"/>
            </w:pPr>
            <w:r>
              <w:rPr>
                <w:rFonts w:ascii="Calibri" w:hAnsi="Calibri"/>
                <w:color w:val="00315C"/>
                <w:sz w:val="21"/>
              </w:rPr>
              <w:t xml:space="preserve">▪  </w:t>
            </w:r>
            <w:r>
              <w:rPr>
                <w:rFonts w:ascii="Calibri" w:hAnsi="Calibri"/>
                <w:color w:val="222222"/>
                <w:sz w:val="21"/>
              </w:rPr>
              <w:t>Managed administrative responsibilities including resident files, documentation, data entry, and office operations.</w:t>
            </w:r>
          </w:p>
          <w:p>
            <w:pPr>
              <w:spacing w:before="180" w:after="0" w:line="276" w:lineRule="auto"/>
            </w:pPr>
            <w:r>
              <w:rPr>
                <w:rFonts w:ascii="Calibri" w:hAnsi="Calibri"/>
                <w:b/>
                <w:i w:val="0"/>
                <w:color w:val="222222"/>
                <w:sz w:val="23"/>
              </w:rPr>
              <w:t>Leasing Consultant</w:t>
            </w:r>
          </w:p>
          <w:p>
            <w:pPr>
              <w:spacing w:before="0" w:after="40"/>
            </w:pPr>
            <w:r>
              <w:rPr>
                <w:rFonts w:ascii="Calibri" w:hAnsi="Calibri"/>
                <w:i/>
                <w:color w:val="555555"/>
                <w:sz w:val="19"/>
              </w:rPr>
              <w:t>The Villages at Decoverly | Rockville, MD</w:t>
            </w:r>
            <w:r>
              <w:rPr>
                <w:rFonts w:ascii="Calibri" w:hAnsi="Calibri"/>
                <w:b/>
                <w:color w:val="00315C"/>
                <w:sz w:val="19"/>
              </w:rPr>
              <w:t xml:space="preserve">   Nov 2021 – Dec 2022</w:t>
            </w:r>
          </w:p>
          <w:p>
            <w:pPr>
              <w:spacing w:before="0" w:after="80" w:line="276" w:lineRule="auto"/>
              <w:ind w:left="230"/>
            </w:pPr>
            <w:r>
              <w:rPr>
                <w:rFonts w:ascii="Calibri" w:hAnsi="Calibri"/>
                <w:color w:val="00315C"/>
                <w:sz w:val="21"/>
              </w:rPr>
              <w:t xml:space="preserve">▪  </w:t>
            </w:r>
            <w:r>
              <w:rPr>
                <w:rFonts w:ascii="Calibri" w:hAnsi="Calibri"/>
                <w:color w:val="222222"/>
                <w:sz w:val="21"/>
              </w:rPr>
              <w:t>Conducted apartment tours and guided prospective residents through available units and community amenities.</w:t>
            </w:r>
          </w:p>
          <w:p>
            <w:pPr>
              <w:spacing w:before="0" w:after="80" w:line="276" w:lineRule="auto"/>
              <w:ind w:left="230"/>
            </w:pPr>
            <w:r>
              <w:rPr>
                <w:rFonts w:ascii="Calibri" w:hAnsi="Calibri"/>
                <w:color w:val="00315C"/>
                <w:sz w:val="21"/>
              </w:rPr>
              <w:t xml:space="preserve">▪  </w:t>
            </w:r>
            <w:r>
              <w:rPr>
                <w:rFonts w:ascii="Calibri" w:hAnsi="Calibri"/>
                <w:color w:val="222222"/>
                <w:sz w:val="21"/>
              </w:rPr>
              <w:t>Managed leasing paperwork including applications, agreements, credit checks, employment verifications, and move-in packages.</w:t>
            </w:r>
          </w:p>
          <w:p>
            <w:pPr>
              <w:spacing w:before="0" w:after="80" w:line="276" w:lineRule="auto"/>
              <w:ind w:left="230"/>
            </w:pPr>
            <w:r>
              <w:rPr>
                <w:rFonts w:ascii="Calibri" w:hAnsi="Calibri"/>
                <w:color w:val="00315C"/>
                <w:sz w:val="21"/>
              </w:rPr>
              <w:t xml:space="preserve">▪  </w:t>
            </w:r>
            <w:r>
              <w:rPr>
                <w:rFonts w:ascii="Calibri" w:hAnsi="Calibri"/>
                <w:color w:val="222222"/>
                <w:sz w:val="21"/>
              </w:rPr>
              <w:t>Prepared lease documents according to property policies, procedures, and compliance requirements.</w:t>
            </w:r>
          </w:p>
          <w:p>
            <w:pPr>
              <w:spacing w:before="0" w:after="80" w:line="276" w:lineRule="auto"/>
              <w:ind w:left="230"/>
            </w:pPr>
            <w:r>
              <w:rPr>
                <w:rFonts w:ascii="Calibri" w:hAnsi="Calibri"/>
                <w:color w:val="00315C"/>
                <w:sz w:val="21"/>
              </w:rPr>
              <w:t xml:space="preserve">▪  </w:t>
            </w:r>
            <w:r>
              <w:rPr>
                <w:rFonts w:ascii="Calibri" w:hAnsi="Calibri"/>
                <w:color w:val="222222"/>
                <w:sz w:val="21"/>
              </w:rPr>
              <w:t>Advertised available apartments through marketing platforms and promotional materials.</w:t>
            </w:r>
          </w:p>
          <w:p>
            <w:pPr>
              <w:spacing w:before="0" w:after="80" w:line="276" w:lineRule="auto"/>
              <w:ind w:left="230"/>
            </w:pPr>
            <w:r>
              <w:rPr>
                <w:rFonts w:ascii="Calibri" w:hAnsi="Calibri"/>
                <w:color w:val="00315C"/>
                <w:sz w:val="21"/>
              </w:rPr>
              <w:t xml:space="preserve">▪  </w:t>
            </w:r>
            <w:r>
              <w:rPr>
                <w:rFonts w:ascii="Calibri" w:hAnsi="Calibri"/>
                <w:color w:val="222222"/>
                <w:sz w:val="21"/>
              </w:rPr>
              <w:t>Conducted apartment inspections and communicated maintenance needs to the appropriate teams.</w:t>
            </w:r>
          </w:p>
          <w:p>
            <w:pPr>
              <w:spacing w:before="0" w:after="80" w:line="276" w:lineRule="auto"/>
              <w:ind w:left="230"/>
            </w:pPr>
            <w:r>
              <w:rPr>
                <w:rFonts w:ascii="Calibri" w:hAnsi="Calibri"/>
                <w:color w:val="00315C"/>
                <w:sz w:val="21"/>
              </w:rPr>
              <w:t xml:space="preserve">▪  </w:t>
            </w:r>
            <w:r>
              <w:rPr>
                <w:rFonts w:ascii="Calibri" w:hAnsi="Calibri"/>
                <w:color w:val="222222"/>
                <w:sz w:val="21"/>
              </w:rPr>
              <w:t>Utilized Entrata, RealPage, and YieldStar software for leasing activities and property operations.</w:t>
            </w:r>
          </w:p>
          <w:p>
            <w:pPr>
              <w:spacing w:before="0" w:after="80" w:line="276" w:lineRule="auto"/>
              <w:ind w:left="230"/>
            </w:pPr>
            <w:r>
              <w:rPr>
                <w:rFonts w:ascii="Calibri" w:hAnsi="Calibri"/>
                <w:color w:val="00315C"/>
                <w:sz w:val="21"/>
              </w:rPr>
              <w:t xml:space="preserve">▪  </w:t>
            </w:r>
            <w:r>
              <w:rPr>
                <w:rFonts w:ascii="Calibri" w:hAnsi="Calibri"/>
                <w:color w:val="222222"/>
                <w:sz w:val="21"/>
              </w:rPr>
              <w:t>Responded to leasing inquiries, followed up with leads, and maintained strong prospect relationships.</w:t>
            </w:r>
          </w:p>
          <w:p>
            <w:pPr>
              <w:spacing w:before="180" w:after="0" w:line="276" w:lineRule="auto"/>
            </w:pPr>
            <w:r>
              <w:rPr>
                <w:rFonts w:ascii="Calibri" w:hAnsi="Calibri"/>
                <w:b/>
                <w:i w:val="0"/>
                <w:color w:val="222222"/>
                <w:sz w:val="23"/>
              </w:rPr>
              <w:t>Leasing Consultant</w:t>
            </w:r>
          </w:p>
          <w:p>
            <w:pPr>
              <w:spacing w:before="0" w:after="40"/>
            </w:pPr>
            <w:r>
              <w:rPr>
                <w:rFonts w:ascii="Calibri" w:hAnsi="Calibri"/>
                <w:i/>
                <w:color w:val="555555"/>
                <w:sz w:val="19"/>
              </w:rPr>
              <w:t>Pinnacle at Town Center | Germantown, MD</w:t>
            </w:r>
            <w:r>
              <w:rPr>
                <w:rFonts w:ascii="Calibri" w:hAnsi="Calibri"/>
                <w:b/>
                <w:color w:val="00315C"/>
                <w:sz w:val="19"/>
              </w:rPr>
              <w:t xml:space="preserve">   Jan 2021 – Nov 2021</w:t>
            </w:r>
          </w:p>
          <w:p>
            <w:pPr>
              <w:spacing w:before="0" w:after="80" w:line="276" w:lineRule="auto"/>
              <w:ind w:left="230"/>
            </w:pPr>
            <w:r>
              <w:rPr>
                <w:rFonts w:ascii="Calibri" w:hAnsi="Calibri"/>
                <w:color w:val="00315C"/>
                <w:sz w:val="21"/>
              </w:rPr>
              <w:t xml:space="preserve">▪  </w:t>
            </w:r>
            <w:r>
              <w:rPr>
                <w:rFonts w:ascii="Calibri" w:hAnsi="Calibri"/>
                <w:color w:val="222222"/>
                <w:sz w:val="21"/>
              </w:rPr>
              <w:t>Conducted property tours and assisted prospective residents throughout the leasing process.</w:t>
            </w:r>
          </w:p>
          <w:p>
            <w:pPr>
              <w:spacing w:before="0" w:after="80" w:line="276" w:lineRule="auto"/>
              <w:ind w:left="230"/>
            </w:pPr>
            <w:r>
              <w:rPr>
                <w:rFonts w:ascii="Calibri" w:hAnsi="Calibri"/>
                <w:color w:val="00315C"/>
                <w:sz w:val="21"/>
              </w:rPr>
              <w:t xml:space="preserve">▪  </w:t>
            </w:r>
            <w:r>
              <w:rPr>
                <w:rFonts w:ascii="Calibri" w:hAnsi="Calibri"/>
                <w:color w:val="222222"/>
                <w:sz w:val="21"/>
              </w:rPr>
              <w:t>Answered leasing calls, responded to online inquiries, and followed up with potential residents.</w:t>
            </w:r>
          </w:p>
          <w:p>
            <w:pPr>
              <w:spacing w:before="0" w:after="80" w:line="276" w:lineRule="auto"/>
              <w:ind w:left="230"/>
            </w:pPr>
            <w:r>
              <w:rPr>
                <w:rFonts w:ascii="Calibri" w:hAnsi="Calibri"/>
                <w:color w:val="00315C"/>
                <w:sz w:val="21"/>
              </w:rPr>
              <w:t xml:space="preserve">▪  </w:t>
            </w:r>
            <w:r>
              <w:rPr>
                <w:rFonts w:ascii="Calibri" w:hAnsi="Calibri"/>
                <w:color w:val="222222"/>
                <w:sz w:val="21"/>
              </w:rPr>
              <w:t>Processed applications, prepared lease documentation, and maintained weekly/monthly reports.</w:t>
            </w:r>
          </w:p>
          <w:p>
            <w:pPr>
              <w:spacing w:before="0" w:after="80" w:line="276" w:lineRule="auto"/>
              <w:ind w:left="230"/>
            </w:pPr>
            <w:r>
              <w:rPr>
                <w:rFonts w:ascii="Calibri" w:hAnsi="Calibri"/>
                <w:color w:val="00315C"/>
                <w:sz w:val="21"/>
              </w:rPr>
              <w:t xml:space="preserve">▪  </w:t>
            </w:r>
            <w:r>
              <w:rPr>
                <w:rFonts w:ascii="Calibri" w:hAnsi="Calibri"/>
                <w:color w:val="222222"/>
                <w:sz w:val="21"/>
              </w:rPr>
              <w:t>Assisted residents with concerns and coordinated follow-up on maintenance requests.</w:t>
            </w:r>
          </w:p>
          <w:p>
            <w:pPr>
              <w:spacing w:before="0" w:after="80" w:line="276" w:lineRule="auto"/>
              <w:ind w:left="230"/>
            </w:pPr>
            <w:r>
              <w:rPr>
                <w:rFonts w:ascii="Calibri" w:hAnsi="Calibri"/>
                <w:color w:val="00315C"/>
                <w:sz w:val="21"/>
              </w:rPr>
              <w:t xml:space="preserve">▪  </w:t>
            </w:r>
            <w:r>
              <w:rPr>
                <w:rFonts w:ascii="Calibri" w:hAnsi="Calibri"/>
                <w:color w:val="222222"/>
                <w:sz w:val="21"/>
              </w:rPr>
              <w:t>Supported community marketing efforts through online advertising, outreach, and resident engagement.</w:t>
            </w:r>
          </w:p>
          <w:p>
            <w:pPr>
              <w:spacing w:before="0" w:after="80" w:line="276" w:lineRule="auto"/>
              <w:ind w:left="230"/>
            </w:pPr>
            <w:r>
              <w:rPr>
                <w:rFonts w:ascii="Calibri" w:hAnsi="Calibri"/>
                <w:color w:val="00315C"/>
                <w:sz w:val="21"/>
              </w:rPr>
              <w:t xml:space="preserve">▪  </w:t>
            </w:r>
            <w:r>
              <w:rPr>
                <w:rFonts w:ascii="Calibri" w:hAnsi="Calibri"/>
                <w:color w:val="222222"/>
                <w:sz w:val="21"/>
              </w:rPr>
              <w:t>Utilized Yardi software for property management operations.</w:t>
            </w:r>
          </w:p>
          <w:p>
            <w:pPr>
              <w:spacing w:before="0" w:after="80" w:line="276" w:lineRule="auto"/>
              <w:ind w:left="230"/>
            </w:pPr>
            <w:r>
              <w:rPr>
                <w:rFonts w:ascii="Calibri" w:hAnsi="Calibri"/>
                <w:color w:val="00315C"/>
                <w:sz w:val="21"/>
              </w:rPr>
              <w:t xml:space="preserve">▪  </w:t>
            </w:r>
            <w:r>
              <w:rPr>
                <w:rFonts w:ascii="Calibri" w:hAnsi="Calibri"/>
                <w:color w:val="222222"/>
                <w:sz w:val="21"/>
              </w:rPr>
              <w:t>Provided excellent customer service while maintaining strong resident relationships.</w:t>
            </w:r>
          </w:p>
          <w:p>
            <w:pPr>
              <w:spacing w:before="240" w:after="80" w:line="276" w:lineRule="auto"/>
              <w:pBdr>
                <w:bottom w:val="single" w:sz="8" w:space="2" w:color="00315C"/>
              </w:pBdr>
            </w:pPr>
            <w:r>
              <w:rPr>
                <w:rFonts w:ascii="Calibri" w:hAnsi="Calibri"/>
                <w:b/>
                <w:i w:val="0"/>
                <w:color w:val="00315C"/>
                <w:sz w:val="27"/>
              </w:rPr>
              <w:t>SUPPLY CHAIN SKILLS INVENTORY</w:t>
            </w:r>
          </w:p>
          <w:p>
            <w:pPr>
              <w:spacing w:before="0" w:after="60" w:line="276" w:lineRule="auto"/>
            </w:pPr>
            <w:r>
              <w:rPr>
                <w:rFonts w:ascii="Calibri" w:hAnsi="Calibri"/>
                <w:b w:val="0"/>
                <w:i/>
                <w:color w:val="555555"/>
                <w:sz w:val="19"/>
              </w:rPr>
              <w:t>Comprehensive skill set spanning every link of the chain — plan, source, make, deliver, returns:</w:t>
            </w:r>
          </w:p>
          <w:p>
            <w:pPr>
              <w:spacing w:before="60" w:after="100" w:line="269" w:lineRule="auto"/>
            </w:pPr>
            <w:r>
              <w:rPr>
                <w:rFonts w:ascii="Calibri" w:hAnsi="Calibri"/>
                <w:b/>
                <w:color w:val="00315C"/>
                <w:sz w:val="20"/>
              </w:rPr>
              <w:t xml:space="preserve">Strategic &amp; Executive:  </w:t>
            </w:r>
            <w:r>
              <w:rPr>
                <w:rFonts w:ascii="Calibri" w:hAnsi="Calibri"/>
                <w:color w:val="222222"/>
                <w:sz w:val="19"/>
              </w:rPr>
              <w:t>Strategic planning, Sales &amp; Operations Planning (S&amp;OP), Integrated Business Planning (IBP), Network design &amp; modeling, Capacity planning, P&amp;L / budget ownership, Cost reduction / cost takeout, Total cost of ownership (TCO), Working capital / cash-to-cash, Margin improvement, Supply chain digital transformation, Change management, Sustainability / ESG, Business continuity &amp; resilience, Federal contracting / NAICS 541614, Key Personnel proposals, FAR / DFARS compliance, Stakeholder &amp; executive reporting</w:t>
            </w:r>
          </w:p>
          <w:p>
            <w:pPr>
              <w:spacing w:before="60" w:after="100" w:line="269" w:lineRule="auto"/>
            </w:pPr>
            <w:r>
              <w:rPr>
                <w:rFonts w:ascii="Calibri" w:hAnsi="Calibri"/>
                <w:b/>
                <w:color w:val="00315C"/>
                <w:sz w:val="20"/>
              </w:rPr>
              <w:t xml:space="preserve">Purchasing &amp; Procurement:  </w:t>
            </w:r>
            <w:r>
              <w:rPr>
                <w:rFonts w:ascii="Calibri" w:hAnsi="Calibri"/>
                <w:color w:val="222222"/>
                <w:sz w:val="19"/>
              </w:rPr>
              <w:t>Purchase order processing, Requisition management, Three-way match, Invoice matching, RFQ / RFP preparation, Quote comparison, Price verification, Vendor onboarding, Blanket orders, Backorder management, Expediting, Receiving reconciliation, Discrepancy resolution, Accounts payable coordination, Catalog management, Contract compliance, Purchasing policy adherence, Documentation control</w:t>
            </w:r>
          </w:p>
          <w:p>
            <w:pPr>
              <w:spacing w:before="60" w:after="100" w:line="269" w:lineRule="auto"/>
            </w:pPr>
            <w:r>
              <w:rPr>
                <w:rFonts w:ascii="Calibri" w:hAnsi="Calibri"/>
                <w:b/>
                <w:color w:val="00315C"/>
                <w:sz w:val="20"/>
              </w:rPr>
              <w:t xml:space="preserve">Inventory Control:  </w:t>
            </w:r>
            <w:r>
              <w:rPr>
                <w:rFonts w:ascii="Calibri" w:hAnsi="Calibri"/>
                <w:color w:val="222222"/>
                <w:sz w:val="19"/>
              </w:rPr>
              <w:t>Cycle counting, Stock reconciliation, Inventory accuracy, Reorder points, Safety stock, Stock level optimization, SKU management, Barcode scanning, RFID tracking, Perpetual inventory, FIFO / LIFO, Shrinkage reduction, Physical inventory audits, Bin location management, Inventory variance analysis, Slow-moving &amp; obsolete stock, Kitting &amp; assembly, Lot tracking, Expiration date control, Replenishment planning, COGS, Inventory KPIs &amp; reporting</w:t>
            </w:r>
          </w:p>
          <w:p>
            <w:pPr>
              <w:spacing w:before="60" w:after="100" w:line="269" w:lineRule="auto"/>
            </w:pPr>
            <w:r>
              <w:rPr>
                <w:rFonts w:ascii="Calibri" w:hAnsi="Calibri"/>
                <w:b/>
                <w:color w:val="00315C"/>
                <w:sz w:val="20"/>
              </w:rPr>
              <w:t xml:space="preserve">Buying &amp; Sourcing:  </w:t>
            </w:r>
            <w:r>
              <w:rPr>
                <w:rFonts w:ascii="Calibri" w:hAnsi="Calibri"/>
                <w:color w:val="222222"/>
                <w:sz w:val="19"/>
              </w:rPr>
              <w:t>Strategic sourcing, Supplier negotiation, Contract management, Vendor evaluation, Total cost of ownership (TCO), Category management, Commodity management, Spend analysis, Price benchmarking, Supplier relationship management (SRM), Supplier scorecards, Supplier qualification, Make-vs-buy analysis, Sole-source justification, Volume discounts, Payment terms negotiation, Procurement compliance, Supplier diversity, Cost savings tracking, Contract renewal</w:t>
            </w:r>
          </w:p>
          <w:p>
            <w:pPr>
              <w:spacing w:before="60" w:after="100" w:line="269" w:lineRule="auto"/>
            </w:pPr>
            <w:r>
              <w:rPr>
                <w:rFonts w:ascii="Calibri" w:hAnsi="Calibri"/>
                <w:b/>
                <w:color w:val="00315C"/>
                <w:sz w:val="20"/>
              </w:rPr>
              <w:t xml:space="preserve">Logistics &amp; Transportation:  </w:t>
            </w:r>
            <w:r>
              <w:rPr>
                <w:rFonts w:ascii="Calibri" w:hAnsi="Calibri"/>
                <w:color w:val="222222"/>
                <w:sz w:val="19"/>
              </w:rPr>
              <w:t>Freight management, Transportation planning, Carrier management, Carrier contract negotiation, Route optimization, Load planning, Warehouse operations, Distribution network, Fleet management, Last-mile delivery, Inbound / outbound logistics, 3PL / 4PL management, Freight &amp; fuel cost reduction, Customs &amp; compliance, Import / export, Incoterms, TMS, OTIF delivery performance, Reverse logistics, Cross-docking, Cold chain, Hazmat handling, Shipping documentation, Bill of lading, Dock scheduling, Supply chain visibility, Warehouse safety, Logistics KPIs</w:t>
            </w:r>
          </w:p>
          <w:p>
            <w:pPr>
              <w:spacing w:before="60" w:after="100" w:line="269" w:lineRule="auto"/>
            </w:pPr>
            <w:r>
              <w:rPr>
                <w:rFonts w:ascii="Calibri" w:hAnsi="Calibri"/>
                <w:b/>
                <w:color w:val="00315C"/>
                <w:sz w:val="20"/>
              </w:rPr>
              <w:t xml:space="preserve">Analytics &amp; Systems:  </w:t>
            </w:r>
            <w:r>
              <w:rPr>
                <w:rFonts w:ascii="Calibri" w:hAnsi="Calibri"/>
                <w:color w:val="222222"/>
                <w:sz w:val="19"/>
              </w:rPr>
              <w:t>Data analytics, Demand forecasting, KPI dashboards, Supply chain modeling, Cost analysis, Root cause analysis, Statistical analysis, Predictive analytics, Scenario planning, Network optimization, Order fulfillment analysis, Lead time analysis, Fill rate analysis, Freight spend analysis, Forecast accuracy, Report automation, Data visualization, SQL, Power BI, Tableau, Advanced Excel, Python / R, ERP systems (SAP / Oracle)</w:t>
            </w:r>
          </w:p>
          <w:p>
            <w:pPr>
              <w:spacing w:before="60" w:after="100" w:line="269" w:lineRule="auto"/>
            </w:pPr>
            <w:r>
              <w:rPr>
                <w:rFonts w:ascii="Calibri" w:hAnsi="Calibri"/>
                <w:b/>
                <w:color w:val="00315C"/>
                <w:sz w:val="20"/>
              </w:rPr>
              <w:t xml:space="preserve">Demand &amp; Supply Planning:  </w:t>
            </w:r>
            <w:r>
              <w:rPr>
                <w:rFonts w:ascii="Calibri" w:hAnsi="Calibri"/>
                <w:color w:val="222222"/>
                <w:sz w:val="19"/>
              </w:rPr>
              <w:t>Demand forecasting, Statistical forecasting, Forecast modeling, Consensus forecasting (CPFR), S&amp;OP / S&amp;OE, Demand sensing, MAPE / bias tracking, Seasonality analysis, Promotional forecasting, New product introduction (NPI), Supply-demand balancing, Inventory planning, Replenishment planning, Safety stock optimization, Lead time planning, Capacity planning input, Exception management, APO / IBP (SAP), Kinaxis / o9 / Blue Yonder</w:t>
            </w:r>
          </w:p>
          <w:p>
            <w:pPr>
              <w:spacing w:before="60" w:after="100" w:line="269" w:lineRule="auto"/>
            </w:pPr>
            <w:r>
              <w:rPr>
                <w:rFonts w:ascii="Calibri" w:hAnsi="Calibri"/>
                <w:b/>
                <w:color w:val="00315C"/>
                <w:sz w:val="20"/>
              </w:rPr>
              <w:t xml:space="preserve">Quality &amp; Compliance:  </w:t>
            </w:r>
            <w:r>
              <w:rPr>
                <w:rFonts w:ascii="Calibri" w:hAnsi="Calibri"/>
                <w:color w:val="222222"/>
                <w:sz w:val="19"/>
              </w:rPr>
              <w:t>Quality management system (QMS), ISO 9001, Quality control (QC), Quality assurance (QA), Incoming inspection, First article inspection (FAI), Root cause analysis, Corrective &amp; preventive action (CAPA), Statistical process control (SPC), FMEA, Non-conformance management, Supplier quality &amp; SCAR, Process validation, Gauge R&amp;R, Calibration management, Traceability, Certificate of analysis (CoA), Defect reduction, Regulatory compliance, SOPs, Continuous improvement (Lean / Six Sigma)</w:t>
            </w:r>
          </w:p>
          <w:p>
            <w:pPr>
              <w:spacing w:before="60" w:after="100" w:line="269" w:lineRule="auto"/>
            </w:pPr>
            <w:r>
              <w:rPr>
                <w:rFonts w:ascii="Calibri" w:hAnsi="Calibri"/>
                <w:b/>
                <w:color w:val="00315C"/>
                <w:sz w:val="20"/>
              </w:rPr>
              <w:t xml:space="preserve">Software &amp; Tools:  </w:t>
            </w:r>
            <w:r>
              <w:rPr>
                <w:rFonts w:ascii="Calibri" w:hAnsi="Calibri"/>
                <w:color w:val="222222"/>
                <w:sz w:val="19"/>
              </w:rPr>
              <w:t>SAP, Oracle, Kinaxis, o9, Blue Yonder, WMS, TMS, Power BI, Tableau, SQL, Python / R, Microsoft Excel, Microsoft Office, Yardi, Entrata, RealPage, YieldStar</w:t>
            </w:r>
          </w:p>
          <w:p>
            <w:pPr>
              <w:spacing w:before="240" w:after="80" w:line="276" w:lineRule="auto"/>
              <w:pBdr>
                <w:bottom w:val="single" w:sz="8" w:space="2" w:color="00315C"/>
              </w:pBdr>
            </w:pPr>
            <w:r>
              <w:rPr>
                <w:rFonts w:ascii="Calibri" w:hAnsi="Calibri"/>
                <w:b/>
                <w:i w:val="0"/>
                <w:color w:val="00315C"/>
                <w:sz w:val="27"/>
              </w:rPr>
              <w:t>CERTIFICATIONS &amp; CREDENTIALS</w:t>
            </w:r>
          </w:p>
          <w:p>
            <w:pPr>
              <w:spacing w:before="0" w:after="60" w:line="276" w:lineRule="auto"/>
            </w:pPr>
            <w:r>
              <w:rPr>
                <w:rFonts w:ascii="Calibri" w:hAnsi="Calibri"/>
                <w:b w:val="0"/>
                <w:i/>
                <w:color w:val="555555"/>
                <w:sz w:val="19"/>
              </w:rPr>
              <w:t>Supply-chain certifications relevant to the role (confirm which are held vs in progress):</w:t>
            </w:r>
          </w:p>
          <w:p>
            <w:pPr>
              <w:spacing w:before="0" w:after="80" w:line="276" w:lineRule="auto"/>
              <w:ind w:left="230"/>
            </w:pPr>
            <w:r>
              <w:rPr>
                <w:rFonts w:ascii="Calibri" w:hAnsi="Calibri"/>
                <w:color w:val="00315C"/>
                <w:sz w:val="21"/>
              </w:rPr>
              <w:t xml:space="preserve">▪  </w:t>
            </w:r>
            <w:r>
              <w:rPr>
                <w:rFonts w:ascii="Calibri" w:hAnsi="Calibri"/>
                <w:color w:val="222222"/>
                <w:sz w:val="21"/>
              </w:rPr>
              <w:t>APICS CPIM — Certified in Planning and Inventory Management</w:t>
            </w:r>
          </w:p>
          <w:p>
            <w:pPr>
              <w:spacing w:before="0" w:after="80" w:line="276" w:lineRule="auto"/>
              <w:ind w:left="230"/>
            </w:pPr>
            <w:r>
              <w:rPr>
                <w:rFonts w:ascii="Calibri" w:hAnsi="Calibri"/>
                <w:color w:val="00315C"/>
                <w:sz w:val="21"/>
              </w:rPr>
              <w:t xml:space="preserve">▪  </w:t>
            </w:r>
            <w:r>
              <w:rPr>
                <w:rFonts w:ascii="Calibri" w:hAnsi="Calibri"/>
                <w:color w:val="222222"/>
                <w:sz w:val="21"/>
              </w:rPr>
              <w:t>APICS CSCP — Certified Supply Chain Professional</w:t>
            </w:r>
          </w:p>
          <w:p>
            <w:pPr>
              <w:spacing w:before="0" w:after="80" w:line="276" w:lineRule="auto"/>
              <w:ind w:left="230"/>
            </w:pPr>
            <w:r>
              <w:rPr>
                <w:rFonts w:ascii="Calibri" w:hAnsi="Calibri"/>
                <w:color w:val="00315C"/>
                <w:sz w:val="21"/>
              </w:rPr>
              <w:t xml:space="preserve">▪  </w:t>
            </w:r>
            <w:r>
              <w:rPr>
                <w:rFonts w:ascii="Calibri" w:hAnsi="Calibri"/>
                <w:color w:val="222222"/>
                <w:sz w:val="21"/>
              </w:rPr>
              <w:t>CLTD — Certified in Logistics, Transportation and Distribution</w:t>
            </w:r>
          </w:p>
          <w:p>
            <w:pPr>
              <w:spacing w:before="0" w:after="80" w:line="276" w:lineRule="auto"/>
              <w:ind w:left="230"/>
            </w:pPr>
            <w:r>
              <w:rPr>
                <w:rFonts w:ascii="Calibri" w:hAnsi="Calibri"/>
                <w:color w:val="00315C"/>
                <w:sz w:val="21"/>
              </w:rPr>
              <w:t xml:space="preserve">▪  </w:t>
            </w:r>
            <w:r>
              <w:rPr>
                <w:rFonts w:ascii="Calibri" w:hAnsi="Calibri"/>
                <w:color w:val="222222"/>
                <w:sz w:val="21"/>
              </w:rPr>
              <w:t>Six Sigma (Green Belt)</w:t>
            </w:r>
          </w:p>
          <w:p>
            <w:pPr>
              <w:spacing w:before="0" w:after="80" w:line="276" w:lineRule="auto"/>
              <w:ind w:left="230"/>
            </w:pPr>
            <w:r>
              <w:rPr>
                <w:rFonts w:ascii="Calibri" w:hAnsi="Calibri"/>
                <w:color w:val="00315C"/>
                <w:sz w:val="21"/>
              </w:rPr>
              <w:t xml:space="preserve">▪  </w:t>
            </w:r>
            <w:r>
              <w:rPr>
                <w:rFonts w:ascii="Calibri" w:hAnsi="Calibri"/>
                <w:color w:val="222222"/>
                <w:sz w:val="21"/>
              </w:rPr>
              <w:t>PMP — Project Management Professional</w:t>
            </w:r>
          </w:p>
          <w:p>
            <w:pPr>
              <w:spacing w:before="240" w:after="80" w:line="276" w:lineRule="auto"/>
              <w:pBdr>
                <w:bottom w:val="single" w:sz="8" w:space="2" w:color="00315C"/>
              </w:pBdr>
            </w:pPr>
            <w:r>
              <w:rPr>
                <w:rFonts w:ascii="Calibri" w:hAnsi="Calibri"/>
                <w:b/>
                <w:i w:val="0"/>
                <w:color w:val="00315C"/>
                <w:sz w:val="27"/>
              </w:rPr>
              <w:t>EDUCATION</w:t>
            </w:r>
          </w:p>
          <w:p>
            <w:pPr>
              <w:spacing w:before="0" w:after="0" w:line="276" w:lineRule="auto"/>
            </w:pPr>
            <w:r>
              <w:rPr>
                <w:rFonts w:ascii="Calibri" w:hAnsi="Calibri"/>
                <w:b/>
                <w:i w:val="0"/>
                <w:color w:val="222222"/>
                <w:sz w:val="22"/>
              </w:rPr>
              <w:t>General Studies</w:t>
            </w:r>
          </w:p>
          <w:p>
            <w:pPr>
              <w:spacing w:before="0" w:after="80" w:line="276" w:lineRule="auto"/>
            </w:pPr>
            <w:r>
              <w:rPr>
                <w:rFonts w:ascii="Calibri" w:hAnsi="Calibri"/>
                <w:b w:val="0"/>
                <w:i w:val="0"/>
                <w:color w:val="555555"/>
                <w:sz w:val="19"/>
              </w:rPr>
              <w:t>Montgomery College | Germantown, MD</w:t>
            </w:r>
          </w:p>
          <w:p>
            <w:pPr>
              <w:spacing w:before="240" w:after="80" w:line="276" w:lineRule="auto"/>
              <w:pBdr>
                <w:bottom w:val="single" w:sz="8" w:space="2" w:color="00315C"/>
              </w:pBdr>
            </w:pPr>
            <w:r>
              <w:rPr>
                <w:rFonts w:ascii="Calibri" w:hAnsi="Calibri"/>
                <w:b/>
                <w:i w:val="0"/>
                <w:color w:val="00315C"/>
                <w:sz w:val="27"/>
              </w:rPr>
              <w:t>LANGUAGES</w:t>
            </w:r>
          </w:p>
          <w:p>
            <w:pPr>
              <w:spacing w:before="0" w:after="40" w:line="276" w:lineRule="auto"/>
            </w:pPr>
            <w:r>
              <w:rPr>
                <w:rFonts w:ascii="Calibri" w:hAnsi="Calibri"/>
                <w:b w:val="0"/>
                <w:i w:val="0"/>
                <w:color w:val="222222"/>
                <w:sz w:val="21"/>
              </w:rPr>
              <w:t>English &amp; Spanish — Fully bilingual (verbal &amp; written)</w:t>
            </w:r>
          </w:p>
        </w:tc>
        <w:tc>
          <w:tcPr>
            <w:tcW w:type="dxa" w:w="3960"/>
            <w:vAlign w:val="top"/>
            <w:tcMar>
              <w:top w:w="200" w:type="dxa"/>
              <w:start w:w="240" w:type="dxa"/>
              <w:bottom w:w="100" w:type="dxa"/>
              <w:end w:w="200" w:type="dxa"/>
            </w:tcMar>
            <w:shd w:val="clear" w:color="auto" w:fill="00315C"/>
          </w:tcPr>
          <w:p>
            <w:pPr>
              <w:spacing w:before="0" w:after="0" w:line="276" w:lineRule="auto"/>
            </w:pPr>
            <w:r>
              <w:rPr>
                <w:rFonts w:ascii="Calibri" w:hAnsi="Calibri"/>
                <w:b/>
                <w:i w:val="0"/>
                <w:color w:val="FFFFFF"/>
                <w:sz w:val="44"/>
              </w:rPr>
              <w:t>THALIA</w:t>
            </w:r>
          </w:p>
          <w:p>
            <w:pPr>
              <w:spacing w:before="0" w:after="80" w:line="276" w:lineRule="auto"/>
            </w:pPr>
            <w:r>
              <w:rPr>
                <w:rFonts w:ascii="Calibri" w:hAnsi="Calibri"/>
                <w:b/>
                <w:i w:val="0"/>
                <w:color w:val="FFFFFF"/>
                <w:sz w:val="44"/>
              </w:rPr>
              <w:t>SALGUERO</w:t>
            </w:r>
          </w:p>
          <w:p>
            <w:pPr>
              <w:spacing w:before="0" w:after="20" w:line="276" w:lineRule="auto"/>
            </w:pPr>
            <w:r>
              <w:rPr>
                <w:rFonts w:ascii="Calibri" w:hAnsi="Calibri"/>
                <w:b/>
                <w:i w:val="0"/>
                <w:color w:val="FFFFFF"/>
                <w:sz w:val="21"/>
              </w:rPr>
              <w:t>Chief Supply Chain Officer</w:t>
            </w:r>
          </w:p>
          <w:p>
            <w:pPr>
              <w:spacing w:before="0" w:after="200" w:line="276" w:lineRule="auto"/>
            </w:pPr>
            <w:r>
              <w:rPr>
                <w:rFonts w:ascii="Calibri" w:hAnsi="Calibri"/>
                <w:b w:val="0"/>
                <w:i w:val="0"/>
                <w:color w:val="FFFFFF"/>
                <w:sz w:val="18"/>
              </w:rPr>
              <w:t>Albright Laboratories LLC · 10 yrs</w:t>
            </w:r>
          </w:p>
          <w:p>
            <w:pPr>
              <w:spacing w:before="120" w:after="0"/>
            </w:pPr>
            <w:r>
              <w:rPr>
                <w:rFonts w:ascii="Calibri" w:hAnsi="Calibri"/>
                <w:b/>
                <w:color w:val="FFFFFF"/>
                <w:sz w:val="17"/>
              </w:rPr>
              <w:t>ADDRESS</w:t>
            </w:r>
          </w:p>
          <w:p>
            <w:pPr>
              <w:spacing w:before="0" w:after="0"/>
            </w:pPr>
            <w:r>
              <w:rPr>
                <w:rFonts w:ascii="Calibri" w:hAnsi="Calibri"/>
                <w:color w:val="FFFFFF"/>
                <w:sz w:val="19"/>
              </w:rPr>
              <w:t>Germantown, MD 20876</w:t>
            </w:r>
          </w:p>
          <w:p>
            <w:pPr>
              <w:spacing w:before="120" w:after="0"/>
            </w:pPr>
            <w:r>
              <w:rPr>
                <w:rFonts w:ascii="Calibri" w:hAnsi="Calibri"/>
                <w:b/>
                <w:color w:val="FFFFFF"/>
                <w:sz w:val="17"/>
              </w:rPr>
              <w:t>PHONE</w:t>
            </w:r>
          </w:p>
          <w:p>
            <w:pPr>
              <w:spacing w:before="0" w:after="0"/>
            </w:pPr>
            <w:r>
              <w:rPr>
                <w:rFonts w:ascii="Calibri" w:hAnsi="Calibri"/>
                <w:color w:val="FFFFFF"/>
                <w:sz w:val="19"/>
              </w:rPr>
              <w:t>(240) 556-8581</w:t>
            </w:r>
          </w:p>
          <w:p>
            <w:pPr>
              <w:spacing w:before="120" w:after="0"/>
            </w:pPr>
            <w:r>
              <w:rPr>
                <w:rFonts w:ascii="Calibri" w:hAnsi="Calibri"/>
                <w:b/>
                <w:color w:val="FFFFFF"/>
                <w:sz w:val="17"/>
              </w:rPr>
              <w:t>E-MAIL</w:t>
            </w:r>
          </w:p>
          <w:p>
            <w:pPr>
              <w:spacing w:before="0" w:after="0"/>
            </w:pPr>
            <w:r>
              <w:rPr>
                <w:rFonts w:ascii="Calibri" w:hAnsi="Calibri"/>
                <w:color w:val="FFFFFF"/>
                <w:sz w:val="19"/>
              </w:rPr>
              <w:t>thaliasalguero77@gmail.com</w:t>
            </w:r>
          </w:p>
          <w:p>
            <w:pPr>
              <w:spacing w:before="280" w:after="120" w:line="276" w:lineRule="auto"/>
              <w:pBdr>
                <w:bottom w:val="single" w:sz="8" w:space="2" w:color="FFFFFF"/>
              </w:pBdr>
            </w:pPr>
            <w:r>
              <w:rPr>
                <w:rFonts w:ascii="Calibri" w:hAnsi="Calibri"/>
                <w:b/>
                <w:i w:val="0"/>
                <w:color w:val="FFFFFF"/>
                <w:sz w:val="23"/>
              </w:rPr>
              <w:t>TOP SUPPLY CHAIN SKILLS</w:t>
            </w:r>
          </w:p>
          <w:p>
            <w:pPr>
              <w:spacing w:before="100" w:after="20"/>
            </w:pPr>
            <w:r>
              <w:rPr>
                <w:rFonts w:ascii="Calibri" w:hAnsi="Calibri"/>
                <w:color w:val="FFFFFF"/>
                <w:sz w:val="19"/>
              </w:rPr>
              <w:t>Strategic Sourcing &amp; Procurement</w:t>
            </w:r>
          </w:p>
          <w:p>
            <w:pPr>
              <w:spacing w:before="0" w:after="0"/>
            </w:pPr>
            <w:r>
              <w:drawing>
                <wp:inline xmlns:a="http://schemas.openxmlformats.org/drawingml/2006/main" xmlns:pic="http://schemas.openxmlformats.org/drawingml/2006/picture">
                  <wp:extent cx="1965960" cy="91867"/>
                  <wp:docPr id="1" name="Picture 1"/>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Supplier / Vendor Management</w:t>
            </w:r>
          </w:p>
          <w:p>
            <w:pPr>
              <w:spacing w:before="0" w:after="0"/>
            </w:pPr>
            <w:r>
              <w:drawing>
                <wp:inline xmlns:a="http://schemas.openxmlformats.org/drawingml/2006/main" xmlns:pic="http://schemas.openxmlformats.org/drawingml/2006/picture">
                  <wp:extent cx="1965960" cy="91867"/>
                  <wp:docPr id="2" name="Picture 2"/>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Contract Negotiation</w:t>
            </w:r>
          </w:p>
          <w:p>
            <w:pPr>
              <w:spacing w:before="0" w:after="0"/>
            </w:pPr>
            <w:r>
              <w:drawing>
                <wp:inline xmlns:a="http://schemas.openxmlformats.org/drawingml/2006/main" xmlns:pic="http://schemas.openxmlformats.org/drawingml/2006/picture">
                  <wp:extent cx="1965960" cy="91867"/>
                  <wp:docPr id="3" name="Picture 3"/>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P&amp;L / Budget Ownership</w:t>
            </w:r>
          </w:p>
          <w:p>
            <w:pPr>
              <w:spacing w:before="0" w:after="0"/>
            </w:pPr>
            <w:r>
              <w:drawing>
                <wp:inline xmlns:a="http://schemas.openxmlformats.org/drawingml/2006/main" xmlns:pic="http://schemas.openxmlformats.org/drawingml/2006/picture">
                  <wp:extent cx="1965960" cy="91867"/>
                  <wp:docPr id="4" name="Picture 4"/>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Cost Reduction &amp; TCO</w:t>
            </w:r>
          </w:p>
          <w:p>
            <w:pPr>
              <w:spacing w:before="0" w:after="0"/>
            </w:pPr>
            <w:r>
              <w:drawing>
                <wp:inline xmlns:a="http://schemas.openxmlformats.org/drawingml/2006/main" xmlns:pic="http://schemas.openxmlformats.org/drawingml/2006/picture">
                  <wp:extent cx="1965960" cy="91867"/>
                  <wp:docPr id="5" name="Picture 5"/>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Spend Analysis</w:t>
            </w:r>
          </w:p>
          <w:p>
            <w:pPr>
              <w:spacing w:before="0" w:after="0"/>
            </w:pPr>
            <w:r>
              <w:drawing>
                <wp:inline xmlns:a="http://schemas.openxmlformats.org/drawingml/2006/main" xmlns:pic="http://schemas.openxmlformats.org/drawingml/2006/picture">
                  <wp:extent cx="1965960" cy="91867"/>
                  <wp:docPr id="6" name="Picture 6"/>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Category Management</w:t>
            </w:r>
          </w:p>
          <w:p>
            <w:pPr>
              <w:spacing w:before="0" w:after="0"/>
            </w:pPr>
            <w:r>
              <w:drawing>
                <wp:inline xmlns:a="http://schemas.openxmlformats.org/drawingml/2006/main" xmlns:pic="http://schemas.openxmlformats.org/drawingml/2006/picture">
                  <wp:extent cx="1965960" cy="91867"/>
                  <wp:docPr id="7" name="Picture 7"/>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Purchase Order Management</w:t>
            </w:r>
          </w:p>
          <w:p>
            <w:pPr>
              <w:spacing w:before="0" w:after="0"/>
            </w:pPr>
            <w:r>
              <w:drawing>
                <wp:inline xmlns:a="http://schemas.openxmlformats.org/drawingml/2006/main" xmlns:pic="http://schemas.openxmlformats.org/drawingml/2006/picture">
                  <wp:extent cx="1965960" cy="91867"/>
                  <wp:docPr id="8" name="Picture 8"/>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RFQ / RFP</w:t>
            </w:r>
          </w:p>
          <w:p>
            <w:pPr>
              <w:spacing w:before="0" w:after="0"/>
            </w:pPr>
            <w:r>
              <w:drawing>
                <wp:inline xmlns:a="http://schemas.openxmlformats.org/drawingml/2006/main" xmlns:pic="http://schemas.openxmlformats.org/drawingml/2006/picture">
                  <wp:extent cx="1965960" cy="91867"/>
                  <wp:docPr id="9" name="Picture 9"/>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Supplier Scorecards &amp; Qualification</w:t>
            </w:r>
          </w:p>
          <w:p>
            <w:pPr>
              <w:spacing w:before="0" w:after="0"/>
            </w:pPr>
            <w:r>
              <w:drawing>
                <wp:inline xmlns:a="http://schemas.openxmlformats.org/drawingml/2006/main" xmlns:pic="http://schemas.openxmlformats.org/drawingml/2006/picture">
                  <wp:extent cx="1965960" cy="91867"/>
                  <wp:docPr id="10" name="Picture 10"/>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Inventory Optimization</w:t>
            </w:r>
          </w:p>
          <w:p>
            <w:pPr>
              <w:spacing w:before="0" w:after="0"/>
            </w:pPr>
            <w:r>
              <w:drawing>
                <wp:inline xmlns:a="http://schemas.openxmlformats.org/drawingml/2006/main" xmlns:pic="http://schemas.openxmlformats.org/drawingml/2006/picture">
                  <wp:extent cx="1965960" cy="91867"/>
                  <wp:docPr id="11" name="Picture 11"/>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Cycle Counting &amp; Accuracy</w:t>
            </w:r>
          </w:p>
          <w:p>
            <w:pPr>
              <w:spacing w:before="0" w:after="0"/>
            </w:pPr>
            <w:r>
              <w:drawing>
                <wp:inline xmlns:a="http://schemas.openxmlformats.org/drawingml/2006/main" xmlns:pic="http://schemas.openxmlformats.org/drawingml/2006/picture">
                  <wp:extent cx="1965960" cy="91867"/>
                  <wp:docPr id="12" name="Picture 12"/>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Safety Stock &amp; Reorder Points</w:t>
            </w:r>
          </w:p>
          <w:p>
            <w:pPr>
              <w:spacing w:before="0" w:after="0"/>
            </w:pPr>
            <w:r>
              <w:drawing>
                <wp:inline xmlns:a="http://schemas.openxmlformats.org/drawingml/2006/main" xmlns:pic="http://schemas.openxmlformats.org/drawingml/2006/picture">
                  <wp:extent cx="1965960" cy="91867"/>
                  <wp:docPr id="13" name="Picture 13"/>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WMS</w:t>
            </w:r>
          </w:p>
          <w:p>
            <w:pPr>
              <w:spacing w:before="0" w:after="0"/>
            </w:pPr>
            <w:r>
              <w:drawing>
                <wp:inline xmlns:a="http://schemas.openxmlformats.org/drawingml/2006/main" xmlns:pic="http://schemas.openxmlformats.org/drawingml/2006/picture">
                  <wp:extent cx="1965960" cy="91867"/>
                  <wp:docPr id="14" name="Picture 14"/>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Logistics &amp; Distribution</w:t>
            </w:r>
          </w:p>
          <w:p>
            <w:pPr>
              <w:spacing w:before="0" w:after="0"/>
            </w:pPr>
            <w:r>
              <w:drawing>
                <wp:inline xmlns:a="http://schemas.openxmlformats.org/drawingml/2006/main" xmlns:pic="http://schemas.openxmlformats.org/drawingml/2006/picture">
                  <wp:extent cx="1965960" cy="91867"/>
                  <wp:docPr id="15" name="Picture 15"/>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Freight &amp; Carrier Management</w:t>
            </w:r>
          </w:p>
          <w:p>
            <w:pPr>
              <w:spacing w:before="0" w:after="0"/>
            </w:pPr>
            <w:r>
              <w:drawing>
                <wp:inline xmlns:a="http://schemas.openxmlformats.org/drawingml/2006/main" xmlns:pic="http://schemas.openxmlformats.org/drawingml/2006/picture">
                  <wp:extent cx="1965960" cy="91867"/>
                  <wp:docPr id="16" name="Picture 16"/>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3PL / 4PL Management</w:t>
            </w:r>
          </w:p>
          <w:p>
            <w:pPr>
              <w:spacing w:before="0" w:after="0"/>
            </w:pPr>
            <w:r>
              <w:drawing>
                <wp:inline xmlns:a="http://schemas.openxmlformats.org/drawingml/2006/main" xmlns:pic="http://schemas.openxmlformats.org/drawingml/2006/picture">
                  <wp:extent cx="1965960" cy="91867"/>
                  <wp:docPr id="17" name="Picture 17"/>
                  <wp:cNvGraphicFramePr>
                    <a:graphicFrameLocks noChangeAspect="1"/>
                  </wp:cNvGraphicFramePr>
                  <a:graphic>
                    <a:graphicData uri="http://schemas.openxmlformats.org/drawingml/2006/picture">
                      <pic:pic>
                        <pic:nvPicPr>
                          <pic:cNvPr id="0" name="g60.png"/>
                          <pic:cNvPicPr/>
                        </pic:nvPicPr>
                        <pic:blipFill>
                          <a:blip r:embed="rId11"/>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OTIF Delivery Performance</w:t>
            </w:r>
          </w:p>
          <w:p>
            <w:pPr>
              <w:spacing w:before="0" w:after="0"/>
            </w:pPr>
            <w:r>
              <w:drawing>
                <wp:inline xmlns:a="http://schemas.openxmlformats.org/drawingml/2006/main" xmlns:pic="http://schemas.openxmlformats.org/drawingml/2006/picture">
                  <wp:extent cx="1965960" cy="91867"/>
                  <wp:docPr id="18" name="Picture 18"/>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TMS</w:t>
            </w:r>
          </w:p>
          <w:p>
            <w:pPr>
              <w:spacing w:before="0" w:after="0"/>
            </w:pPr>
            <w:r>
              <w:drawing>
                <wp:inline xmlns:a="http://schemas.openxmlformats.org/drawingml/2006/main" xmlns:pic="http://schemas.openxmlformats.org/drawingml/2006/picture">
                  <wp:extent cx="1965960" cy="91867"/>
                  <wp:docPr id="19" name="Picture 19"/>
                  <wp:cNvGraphicFramePr>
                    <a:graphicFrameLocks noChangeAspect="1"/>
                  </wp:cNvGraphicFramePr>
                  <a:graphic>
                    <a:graphicData uri="http://schemas.openxmlformats.org/drawingml/2006/picture">
                      <pic:pic>
                        <pic:nvPicPr>
                          <pic:cNvPr id="0" name="g60.png"/>
                          <pic:cNvPicPr/>
                        </pic:nvPicPr>
                        <pic:blipFill>
                          <a:blip r:embed="rId11"/>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Reverse Logistics</w:t>
            </w:r>
          </w:p>
          <w:p>
            <w:pPr>
              <w:spacing w:before="0" w:after="0"/>
            </w:pPr>
            <w:r>
              <w:drawing>
                <wp:inline xmlns:a="http://schemas.openxmlformats.org/drawingml/2006/main" xmlns:pic="http://schemas.openxmlformats.org/drawingml/2006/picture">
                  <wp:extent cx="1965960" cy="91867"/>
                  <wp:docPr id="20" name="Picture 20"/>
                  <wp:cNvGraphicFramePr>
                    <a:graphicFrameLocks noChangeAspect="1"/>
                  </wp:cNvGraphicFramePr>
                  <a:graphic>
                    <a:graphicData uri="http://schemas.openxmlformats.org/drawingml/2006/picture">
                      <pic:pic>
                        <pic:nvPicPr>
                          <pic:cNvPr id="0" name="g60.png"/>
                          <pic:cNvPicPr/>
                        </pic:nvPicPr>
                        <pic:blipFill>
                          <a:blip r:embed="rId11"/>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Demand Planning / S&amp;OP</w:t>
            </w:r>
          </w:p>
          <w:p>
            <w:pPr>
              <w:spacing w:before="0" w:after="0"/>
            </w:pPr>
            <w:r>
              <w:drawing>
                <wp:inline xmlns:a="http://schemas.openxmlformats.org/drawingml/2006/main" xmlns:pic="http://schemas.openxmlformats.org/drawingml/2006/picture">
                  <wp:extent cx="1965960" cy="91867"/>
                  <wp:docPr id="21" name="Picture 21"/>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Forecast Accuracy (MAPE)</w:t>
            </w:r>
          </w:p>
          <w:p>
            <w:pPr>
              <w:spacing w:before="0" w:after="0"/>
            </w:pPr>
            <w:r>
              <w:drawing>
                <wp:inline xmlns:a="http://schemas.openxmlformats.org/drawingml/2006/main" xmlns:pic="http://schemas.openxmlformats.org/drawingml/2006/picture">
                  <wp:extent cx="1965960" cy="91867"/>
                  <wp:docPr id="22" name="Picture 22"/>
                  <wp:cNvGraphicFramePr>
                    <a:graphicFrameLocks noChangeAspect="1"/>
                  </wp:cNvGraphicFramePr>
                  <a:graphic>
                    <a:graphicData uri="http://schemas.openxmlformats.org/drawingml/2006/picture">
                      <pic:pic>
                        <pic:nvPicPr>
                          <pic:cNvPr id="0" name="g60.png"/>
                          <pic:cNvPicPr/>
                        </pic:nvPicPr>
                        <pic:blipFill>
                          <a:blip r:embed="rId11"/>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Replenishment Planning</w:t>
            </w:r>
          </w:p>
          <w:p>
            <w:pPr>
              <w:spacing w:before="0" w:after="0"/>
            </w:pPr>
            <w:r>
              <w:drawing>
                <wp:inline xmlns:a="http://schemas.openxmlformats.org/drawingml/2006/main" xmlns:pic="http://schemas.openxmlformats.org/drawingml/2006/picture">
                  <wp:extent cx="1965960" cy="91867"/>
                  <wp:docPr id="23" name="Picture 23"/>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Quality Management (ISO 9001)</w:t>
            </w:r>
          </w:p>
          <w:p>
            <w:pPr>
              <w:spacing w:before="0" w:after="0"/>
            </w:pPr>
            <w:r>
              <w:drawing>
                <wp:inline xmlns:a="http://schemas.openxmlformats.org/drawingml/2006/main" xmlns:pic="http://schemas.openxmlformats.org/drawingml/2006/picture">
                  <wp:extent cx="1965960" cy="91867"/>
                  <wp:docPr id="24" name="Picture 24"/>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Root Cause / CAPA</w:t>
            </w:r>
          </w:p>
          <w:p>
            <w:pPr>
              <w:spacing w:before="0" w:after="0"/>
            </w:pPr>
            <w:r>
              <w:drawing>
                <wp:inline xmlns:a="http://schemas.openxmlformats.org/drawingml/2006/main" xmlns:pic="http://schemas.openxmlformats.org/drawingml/2006/picture">
                  <wp:extent cx="1965960" cy="91867"/>
                  <wp:docPr id="25" name="Picture 25"/>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Statistical Process Control</w:t>
            </w:r>
          </w:p>
          <w:p>
            <w:pPr>
              <w:spacing w:before="0" w:after="0"/>
            </w:pPr>
            <w:r>
              <w:drawing>
                <wp:inline xmlns:a="http://schemas.openxmlformats.org/drawingml/2006/main" xmlns:pic="http://schemas.openxmlformats.org/drawingml/2006/picture">
                  <wp:extent cx="1965960" cy="91867"/>
                  <wp:docPr id="26" name="Picture 26"/>
                  <wp:cNvGraphicFramePr>
                    <a:graphicFrameLocks noChangeAspect="1"/>
                  </wp:cNvGraphicFramePr>
                  <a:graphic>
                    <a:graphicData uri="http://schemas.openxmlformats.org/drawingml/2006/picture">
                      <pic:pic>
                        <pic:nvPicPr>
                          <pic:cNvPr id="0" name="g60.png"/>
                          <pic:cNvPicPr/>
                        </pic:nvPicPr>
                        <pic:blipFill>
                          <a:blip r:embed="rId11"/>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Data Analytics &amp; KPIs</w:t>
            </w:r>
          </w:p>
          <w:p>
            <w:pPr>
              <w:spacing w:before="0" w:after="0"/>
            </w:pPr>
            <w:r>
              <w:drawing>
                <wp:inline xmlns:a="http://schemas.openxmlformats.org/drawingml/2006/main" xmlns:pic="http://schemas.openxmlformats.org/drawingml/2006/picture">
                  <wp:extent cx="1965960" cy="91867"/>
                  <wp:docPr id="27" name="Picture 27"/>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ERP Systems (SAP / Oracle)</w:t>
            </w:r>
          </w:p>
          <w:p>
            <w:pPr>
              <w:spacing w:before="0" w:after="0"/>
            </w:pPr>
            <w:r>
              <w:drawing>
                <wp:inline xmlns:a="http://schemas.openxmlformats.org/drawingml/2006/main" xmlns:pic="http://schemas.openxmlformats.org/drawingml/2006/picture">
                  <wp:extent cx="1965960" cy="91867"/>
                  <wp:docPr id="28" name="Picture 28"/>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Lean / Six Sigma</w:t>
            </w:r>
          </w:p>
          <w:p>
            <w:pPr>
              <w:spacing w:before="0" w:after="0"/>
            </w:pPr>
            <w:r>
              <w:drawing>
                <wp:inline xmlns:a="http://schemas.openxmlformats.org/drawingml/2006/main" xmlns:pic="http://schemas.openxmlformats.org/drawingml/2006/picture">
                  <wp:extent cx="1965960" cy="91867"/>
                  <wp:docPr id="29" name="Picture 29"/>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Risk Management &amp; Resilience</w:t>
            </w:r>
          </w:p>
          <w:p>
            <w:pPr>
              <w:spacing w:before="0" w:after="0"/>
            </w:pPr>
            <w:r>
              <w:drawing>
                <wp:inline xmlns:a="http://schemas.openxmlformats.org/drawingml/2006/main" xmlns:pic="http://schemas.openxmlformats.org/drawingml/2006/picture">
                  <wp:extent cx="1965960" cy="91867"/>
                  <wp:docPr id="30" name="Picture 30"/>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Federal Contracting / NAICS</w:t>
            </w:r>
          </w:p>
          <w:p>
            <w:pPr>
              <w:spacing w:before="0" w:after="0"/>
            </w:pPr>
            <w:r>
              <w:drawing>
                <wp:inline xmlns:a="http://schemas.openxmlformats.org/drawingml/2006/main" xmlns:pic="http://schemas.openxmlformats.org/drawingml/2006/picture">
                  <wp:extent cx="1965960" cy="91867"/>
                  <wp:docPr id="31" name="Picture 31"/>
                  <wp:cNvGraphicFramePr>
                    <a:graphicFrameLocks noChangeAspect="1"/>
                  </wp:cNvGraphicFramePr>
                  <a:graphic>
                    <a:graphicData uri="http://schemas.openxmlformats.org/drawingml/2006/picture">
                      <pic:pic>
                        <pic:nvPicPr>
                          <pic:cNvPr id="0" name="g80.png"/>
                          <pic:cNvPicPr/>
                        </pic:nvPicPr>
                        <pic:blipFill>
                          <a:blip r:embed="rId10"/>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Cross-Functional Leadership</w:t>
            </w:r>
          </w:p>
          <w:p>
            <w:pPr>
              <w:spacing w:before="0" w:after="0"/>
            </w:pPr>
            <w:r>
              <w:drawing>
                <wp:inline xmlns:a="http://schemas.openxmlformats.org/drawingml/2006/main" xmlns:pic="http://schemas.openxmlformats.org/drawingml/2006/picture">
                  <wp:extent cx="1965960" cy="91867"/>
                  <wp:docPr id="32" name="Picture 32"/>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Team Building &amp; Mentorship</w:t>
            </w:r>
          </w:p>
          <w:p>
            <w:pPr>
              <w:spacing w:before="0" w:after="0"/>
            </w:pPr>
            <w:r>
              <w:drawing>
                <wp:inline xmlns:a="http://schemas.openxmlformats.org/drawingml/2006/main" xmlns:pic="http://schemas.openxmlformats.org/drawingml/2006/picture">
                  <wp:extent cx="1965960" cy="91867"/>
                  <wp:docPr id="33" name="Picture 33"/>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p>
            <w:pPr>
              <w:spacing w:before="100" w:after="20"/>
            </w:pPr>
            <w:r>
              <w:rPr>
                <w:rFonts w:ascii="Calibri" w:hAnsi="Calibri"/>
                <w:color w:val="FFFFFF"/>
                <w:sz w:val="19"/>
              </w:rPr>
              <w:t>Bilingual: English &amp; Spanish</w:t>
            </w:r>
          </w:p>
          <w:p>
            <w:pPr>
              <w:spacing w:before="0" w:after="0"/>
            </w:pPr>
            <w:r>
              <w:drawing>
                <wp:inline xmlns:a="http://schemas.openxmlformats.org/drawingml/2006/main" xmlns:pic="http://schemas.openxmlformats.org/drawingml/2006/picture">
                  <wp:extent cx="1965960" cy="91867"/>
                  <wp:docPr id="34" name="Picture 34"/>
                  <wp:cNvGraphicFramePr>
                    <a:graphicFrameLocks noChangeAspect="1"/>
                  </wp:cNvGraphicFramePr>
                  <a:graphic>
                    <a:graphicData uri="http://schemas.openxmlformats.org/drawingml/2006/picture">
                      <pic:pic>
                        <pic:nvPicPr>
                          <pic:cNvPr id="0" name="g100.png"/>
                          <pic:cNvPicPr/>
                        </pic:nvPicPr>
                        <pic:blipFill>
                          <a:blip r:embed="rId9"/>
                          <a:stretch>
                            <a:fillRect/>
                          </a:stretch>
                        </pic:blipFill>
                        <pic:spPr>
                          <a:xfrm>
                            <a:off x="0" y="0"/>
                            <a:ext cx="1965960" cy="91867"/>
                          </a:xfrm>
                          <a:prstGeom prst="rect"/>
                        </pic:spPr>
                      </pic:pic>
                    </a:graphicData>
                  </a:graphic>
                </wp:inline>
              </w:drawing>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