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Monitoramento de umidade e temperatura em servidores de data-center.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BeCold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108" w:type="dxa"/>
      </w:tblPr>
      <w:tblGrid>
        <w:gridCol w:w="4399"/>
        <w:gridCol w:w="4321"/>
      </w:tblGrid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49cc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Equipe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49cc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RA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ESTER ROCHA SANTOS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01232133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GUILHERME OLIVEIRA MENDES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ova" w:hAnsi="Arial Nova" w:cs="Arial Nova" w:eastAsia="Arial Nova"/>
                <w:color w:val="auto"/>
                <w:spacing w:val="0"/>
                <w:position w:val="0"/>
                <w:sz w:val="24"/>
                <w:shd w:fill="auto" w:val="clear"/>
              </w:rPr>
              <w:t xml:space="preserve">01232147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KAIQUI JESUS SILVA PETTY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ova" w:hAnsi="Arial Nova" w:cs="Arial Nova" w:eastAsia="Arial Nova"/>
                <w:color w:val="auto"/>
                <w:spacing w:val="0"/>
                <w:position w:val="0"/>
                <w:sz w:val="24"/>
                <w:shd w:fill="auto" w:val="clear"/>
              </w:rPr>
              <w:t xml:space="preserve">01232208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PAULO VINÍCIUS DOS ANJOS GOIS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01232116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THALITA BREDA DE LIMA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01232113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YURI SUHETT ISBENER VIEIRA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01232073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BeCold é uma empresa que tem seu segmento no monitoramento da temperatura e umidade em data centers, para que nao tenha um superaquecimento dos servidores, atrás do DHT11.Com nosso serviço, nossos clientes, através de uma Dashboard conseguiram acompanhar o monitorando seu data center. Disponibilizamos apenas as Dashboard com as métricas para o monitoramento, pois assumimos que nossos clientes já tenham os sensores, e ja a instalação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 abaixo podemos ver um gráfico, que representa as temperaturas ideias para um bom funcionamento, sem falhas e prejuízos. A temperatura ideal para esse bom funcionamento seria entre 20 a 27 e a com uma umidade entre 40% a 55%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Em relacao ao grafico foi estabelecido que para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temperatura: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Critica(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FFFFFF" w:val="clear"/>
        </w:rPr>
        <w:t xml:space="preserve">vermelho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temperaturas a baixo de 10ºC e acima de 30ºC;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Emergencia(</w:t>
      </w:r>
      <w:r>
        <w:rPr>
          <w:rFonts w:ascii="Arial" w:hAnsi="Arial" w:cs="Arial" w:eastAsia="Arial"/>
          <w:b/>
          <w:color w:val="FFC000"/>
          <w:spacing w:val="0"/>
          <w:position w:val="0"/>
          <w:sz w:val="22"/>
          <w:shd w:fill="FFFFFF" w:val="clear"/>
        </w:rPr>
        <w:t xml:space="preserve">amarelo escuro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 temperaturas de 15ºC e 29ºC;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Alerta(</w:t>
      </w:r>
      <w:r>
        <w:rPr>
          <w:rFonts w:ascii="Arial" w:hAnsi="Arial" w:cs="Arial" w:eastAsia="Arial"/>
          <w:b/>
          <w:color w:val="FFFF00"/>
          <w:spacing w:val="0"/>
          <w:position w:val="0"/>
          <w:sz w:val="22"/>
          <w:shd w:fill="auto" w:val="clear"/>
        </w:rPr>
        <w:t xml:space="preserve">amerelo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temperatura de 17ºC;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Ideal</w:t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(verde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: as temperaturas entre 20ºC  e 27ºC 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Ja para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umidade: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Critaca(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FFFFFF" w:val="clear"/>
        </w:rPr>
        <w:t xml:space="preserve">vermelho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umidades a baixo de 20% e acima de 80%;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Emergencia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Arial" w:hAnsi="Arial" w:cs="Arial" w:eastAsia="Arial"/>
          <w:b/>
          <w:color w:val="FFC000"/>
          <w:spacing w:val="0"/>
          <w:position w:val="0"/>
          <w:sz w:val="22"/>
          <w:shd w:fill="FFFFFF" w:val="clear"/>
        </w:rPr>
        <w:t xml:space="preserve">amarelo escuro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umidades de 25% e entre 70% e 75%;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Alerta(</w:t>
      </w:r>
      <w:r>
        <w:rPr>
          <w:rFonts w:ascii="Arial" w:hAnsi="Arial" w:cs="Arial" w:eastAsia="Arial"/>
          <w:b/>
          <w:color w:val="FFFF00"/>
          <w:spacing w:val="0"/>
          <w:position w:val="0"/>
          <w:sz w:val="22"/>
          <w:shd w:fill="FFFFFF" w:val="clear"/>
        </w:rPr>
        <w:t xml:space="preserve">amerelo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umidades entre 30% e 35% e entre 60% e 65%;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Ideal(</w:t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FFFFFF" w:val="clear"/>
        </w:rPr>
        <w:t xml:space="preserve">verde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umidades entre 40 e 55.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Assim como se pode observar abaixo: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object w:dxaOrig="16076" w:dyaOrig="2530">
          <v:rect xmlns:o="urn:schemas-microsoft-com:office:office" xmlns:v="urn:schemas-microsoft-com:vml" id="rectole0000000000" style="width:803.800000pt;height:1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Para conseguir medir a temperatura e a umidade utilizamos o DHT11, que consegue realizar a captura de dados de temperatura e umidade com dados precisos. E como podemos visualizar na tabela abaixo, o DHT11 trabalha com uma faixa de tempatura de 0 a 50ºC  e com a umidade de 20% a 80%: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726" w:dyaOrig="5487">
          <v:rect xmlns:o="urn:schemas-microsoft-com:office:office" xmlns:v="urn:schemas-microsoft-com:vml" id="rectole0000000001" style="width:436.300000pt;height:27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11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-com-arduino/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8909" w:dyaOrig="3550">
          <v:rect xmlns:o="urn:schemas-microsoft-com:office:office" xmlns:v="urn:schemas-microsoft-com:vml" id="rectole0000000002" style="width:445.450000pt;height:177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 </w:t>
      </w:r>
    </w:p>
    <w:p>
      <w:pPr>
        <w:keepNext w:val="true"/>
        <w:keepLines w:val="true"/>
        <w:spacing w:before="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blog.baudaeletronica.com.br/dht11-com-arduino/" Id="docRId4" Type="http://schemas.openxmlformats.org/officeDocument/2006/relationships/hyperlink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