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240"/>
        <w:ind/>
        <w:rPr/>
      </w:pPr>
      <w:r>
        <w:rPr>
          <w:rFonts w:ascii="Calibri" w:hAnsi="Calibri"/>
          <w:b/>
          <w:color w:val="087f7b"/>
          <w:sz w:val="20"/>
        </w:rPr>
        <w:t xml:space="preserve">EXPEDIENTE DE INGENIERÍA DE SOFTWARE &amp; AUDITORÍA CLÍNICA</w:t>
        <w:br/>
      </w:r>
      <w:r>
        <w:rPr>
          <w:rFonts w:ascii="Calibri" w:hAnsi="Calibri"/>
          <w:b/>
          <w:color w:val="1e293b"/>
          <w:sz w:val="44"/>
        </w:rPr>
        <w:t xml:space="preserve">Especificación Técnica y Funcional de Historias de Usuario</w:t>
      </w:r>
      <w:r/>
    </w:p>
    <w:p>
      <w:pPr>
        <w:pBdr/>
        <w:spacing w:after="280" w:before="40"/>
        <w:ind/>
        <w:rPr/>
      </w:pPr>
      <w:r>
        <w:rPr>
          <w:rFonts w:ascii="Calibri" w:hAnsi="Calibri"/>
          <w:color w:val="64748b"/>
          <w:sz w:val="24"/>
        </w:rPr>
        <w:t xml:space="preserve">Detalle Exhaustivo de Implementación: HU-09 (Ciclo de Vida de Notas Médicas), HU-10 (Editor WYSIWYG &amp; Sanitización XSS) y HU-11 (Baja Clínica Justificada &amp; Trazabilidad Documental)</w:t>
      </w: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4968"/>
        <w:gridCol w:w="4968"/>
      </w:tblGrid>
      <w:tr>
        <w:trPr/>
        <w:tc>
          <w:tcPr>
            <w:shd w:val="clear" w:color="auto" w:fill="f8fafc"/>
            <w:tcBorders/>
            <w:tcMar>
              <w:left w:w="140" w:type="dxa"/>
              <w:top w:w="100" w:type="dxa"/>
              <w:right w:w="140" w:type="dxa"/>
              <w:bottom w:w="100" w:type="dxa"/>
            </w:tcMar>
            <w:tcW w:w="3168" w:type="dxa"/>
            <w:vAlign w:val="center"/>
          </w:tcPr>
          <w:p>
            <w:pPr>
              <w:pBdr/>
              <w:spacing w:after="40" w:before="40"/>
              <w:ind/>
              <w:rPr/>
            </w:pPr>
            <w:r>
              <w:rPr>
                <w:rFonts w:ascii="Calibri" w:hAnsi="Calibri"/>
                <w:b/>
                <w:color w:val="1e293b"/>
                <w:sz w:val="18"/>
              </w:rPr>
              <w:t xml:space="preserve">Sistema / Plataforma</w:t>
            </w:r>
            <w:r/>
          </w:p>
        </w:tc>
        <w:tc>
          <w:tcPr>
            <w:shd w:val="clear" w:color="auto" w:fill="f8fafc"/>
            <w:tcBorders/>
            <w:tcMar>
              <w:left w:w="140" w:type="dxa"/>
              <w:top w:w="100" w:type="dxa"/>
              <w:right w:w="140" w:type="dxa"/>
              <w:bottom w:w="100" w:type="dxa"/>
            </w:tcMar>
            <w:tcW w:w="6192" w:type="dxa"/>
            <w:vAlign w:val="center"/>
          </w:tcPr>
          <w:p>
            <w:pPr>
              <w:pBdr/>
              <w:spacing w:after="40" w:before="40"/>
              <w:ind/>
              <w:rPr/>
            </w:pPr>
            <w:r>
              <w:rPr>
                <w:rFonts w:ascii="Calibri" w:hAnsi="Calibri"/>
                <w:color w:val="1e293b"/>
                <w:sz w:val="18"/>
              </w:rPr>
              <w:t xml:space="preserve">NexoDocs (Plataforma Multitenant de Gestión Documental y Clínica)</w:t>
            </w:r>
            <w:r/>
          </w:p>
        </w:tc>
      </w:tr>
      <w:tr>
        <w:trPr/>
        <w:tc>
          <w:tcPr>
            <w:shd w:val="clear" w:color="auto" w:fill="ffffff"/>
            <w:tcBorders/>
            <w:tcMar>
              <w:left w:w="140" w:type="dxa"/>
              <w:top w:w="100" w:type="dxa"/>
              <w:right w:w="140" w:type="dxa"/>
              <w:bottom w:w="100" w:type="dxa"/>
            </w:tcMar>
            <w:tcW w:w="3168" w:type="dxa"/>
            <w:vAlign w:val="center"/>
          </w:tcPr>
          <w:p>
            <w:pPr>
              <w:pBdr/>
              <w:spacing w:after="40" w:before="40"/>
              <w:ind/>
              <w:rPr/>
            </w:pPr>
            <w:r>
              <w:rPr>
                <w:rFonts w:ascii="Calibri" w:hAnsi="Calibri"/>
                <w:b/>
                <w:color w:val="1e293b"/>
                <w:sz w:val="18"/>
              </w:rPr>
              <w:t xml:space="preserve">Sprint / Fase</w:t>
            </w:r>
            <w:r/>
          </w:p>
        </w:tc>
        <w:tc>
          <w:tcPr>
            <w:shd w:val="clear" w:color="auto" w:fill="ffffff"/>
            <w:tcBorders/>
            <w:tcMar>
              <w:left w:w="140" w:type="dxa"/>
              <w:top w:w="100" w:type="dxa"/>
              <w:right w:w="140" w:type="dxa"/>
              <w:bottom w:w="100" w:type="dxa"/>
            </w:tcMar>
            <w:tcW w:w="6192" w:type="dxa"/>
            <w:vAlign w:val="center"/>
          </w:tcPr>
          <w:p>
            <w:pPr>
              <w:pBdr/>
              <w:spacing w:after="40" w:before="40"/>
              <w:ind/>
              <w:rPr/>
            </w:pPr>
            <w:r>
              <w:rPr>
                <w:rFonts w:ascii="Calibri" w:hAnsi="Calibri"/>
                <w:color w:val="1e293b"/>
                <w:sz w:val="18"/>
              </w:rPr>
              <w:t xml:space="preserve">Sprint 1 - Módulo Clínico y Gestión de Expedientes</w:t>
            </w:r>
            <w:r/>
          </w:p>
        </w:tc>
      </w:tr>
      <w:tr>
        <w:trPr/>
        <w:tc>
          <w:tcPr>
            <w:shd w:val="clear" w:color="auto" w:fill="f8fafc"/>
            <w:tcBorders/>
            <w:tcMar>
              <w:left w:w="140" w:type="dxa"/>
              <w:top w:w="100" w:type="dxa"/>
              <w:right w:w="140" w:type="dxa"/>
              <w:bottom w:w="100" w:type="dxa"/>
            </w:tcMar>
            <w:tcW w:w="3168" w:type="dxa"/>
            <w:vAlign w:val="center"/>
          </w:tcPr>
          <w:p>
            <w:pPr>
              <w:pBdr/>
              <w:spacing w:after="40" w:before="40"/>
              <w:ind/>
              <w:rPr/>
            </w:pPr>
            <w:r>
              <w:rPr>
                <w:rFonts w:ascii="Calibri" w:hAnsi="Calibri"/>
                <w:b/>
                <w:color w:val="1e293b"/>
                <w:sz w:val="18"/>
              </w:rPr>
              <w:t xml:space="preserve">Autor / Ingeniero Responsable</w:t>
            </w:r>
            <w:r/>
          </w:p>
        </w:tc>
        <w:tc>
          <w:tcPr>
            <w:shd w:val="clear" w:color="auto" w:fill="f8fafc"/>
            <w:tcBorders/>
            <w:tcMar>
              <w:left w:w="140" w:type="dxa"/>
              <w:top w:w="100" w:type="dxa"/>
              <w:right w:w="140" w:type="dxa"/>
              <w:bottom w:w="100" w:type="dxa"/>
            </w:tcMar>
            <w:tcW w:w="6192" w:type="dxa"/>
            <w:vAlign w:val="center"/>
          </w:tcPr>
          <w:p>
            <w:pPr>
              <w:pBdr/>
              <w:spacing w:after="40" w:before="40"/>
              <w:ind/>
              <w:rPr/>
            </w:pPr>
            <w:r>
              <w:rPr>
                <w:rFonts w:ascii="Calibri" w:hAnsi="Calibri"/>
                <w:color w:val="1e293b"/>
                <w:sz w:val="18"/>
              </w:rPr>
              <w:t xml:space="preserve">Diego Astete Paz (wdiegow)</w:t>
            </w:r>
            <w:r/>
          </w:p>
        </w:tc>
      </w:tr>
      <w:tr>
        <w:trPr/>
        <w:tc>
          <w:tcPr>
            <w:shd w:val="clear" w:color="auto" w:fill="ffffff"/>
            <w:tcBorders/>
            <w:tcMar>
              <w:left w:w="140" w:type="dxa"/>
              <w:top w:w="100" w:type="dxa"/>
              <w:right w:w="140" w:type="dxa"/>
              <w:bottom w:w="100" w:type="dxa"/>
            </w:tcMar>
            <w:tcW w:w="3168" w:type="dxa"/>
            <w:vAlign w:val="center"/>
          </w:tcPr>
          <w:p>
            <w:pPr>
              <w:pBdr/>
              <w:spacing w:after="40" w:before="40"/>
              <w:ind/>
              <w:rPr/>
            </w:pPr>
            <w:r>
              <w:rPr>
                <w:rFonts w:ascii="Calibri" w:hAnsi="Calibri"/>
                <w:b/>
                <w:color w:val="1e293b"/>
                <w:sz w:val="18"/>
              </w:rPr>
              <w:t xml:space="preserve">Base de Código Verificada</w:t>
            </w:r>
            <w:r/>
          </w:p>
        </w:tc>
        <w:tc>
          <w:tcPr>
            <w:shd w:val="clear" w:color="auto" w:fill="ffffff"/>
            <w:tcBorders/>
            <w:tcMar>
              <w:left w:w="140" w:type="dxa"/>
              <w:top w:w="100" w:type="dxa"/>
              <w:right w:w="140" w:type="dxa"/>
              <w:bottom w:w="100" w:type="dxa"/>
            </w:tcMar>
            <w:tcW w:w="6192" w:type="dxa"/>
            <w:vAlign w:val="center"/>
          </w:tcPr>
          <w:p>
            <w:pPr>
              <w:pBdr/>
              <w:spacing w:after="40" w:before="40"/>
              <w:ind/>
              <w:rPr/>
            </w:pPr>
            <w:r>
              <w:rPr>
                <w:rFonts w:ascii="Calibri" w:hAnsi="Calibri"/>
                <w:color w:val="1e293b"/>
                <w:sz w:val="18"/>
              </w:rPr>
              <w:t xml:space="preserve">Commits 1976a36 (HU-09), 4e3c660 (HU-10) y 639f681 (HU-11) en rama main</w:t>
            </w:r>
            <w:r/>
          </w:p>
        </w:tc>
      </w:tr>
    </w:tbl>
    <w:p>
      <w:pPr>
        <w:pBdr/>
        <w:spacing w:after="240"/>
        <w:ind/>
        <w:rPr/>
      </w:pPr>
      <w:r/>
      <w:r/>
    </w:p>
    <w:p>
      <w:pPr>
        <w:pStyle w:val="713"/>
        <w:pBdr/>
        <w:spacing/>
        <w:ind/>
        <w:rPr/>
      </w:pPr>
      <w:r>
        <w:rPr>
          <w:color w:val="087f7b"/>
        </w:rPr>
        <w:t xml:space="preserve">1. Marco Arquitectural y Modelo de Actores</w:t>
      </w:r>
      <w:r/>
    </w:p>
    <w:p>
      <w:pPr>
        <w:pBdr/>
        <w:spacing w:after="160" w:line="276" w:lineRule="auto"/>
        <w:ind/>
        <w:rPr/>
      </w:pPr>
      <w:r>
        <w:t xml:space="preserve">El presente documento técnico detalla las tres historias de usuario centrales implementadas para el módulo clínico en NexoDocs durante el Sprint 1. Todas las capacidades descritas están com</w:t>
      </w:r>
      <w:r>
        <w:t xml:space="preserve">pletamente integradas y verificadas a nivel de base de datos relacional (PostgreSQL), servicios backend (Spring Boot 3 con Spring Security RBAC y aislamiento multitenant) e interfaz web de usuario (Angular 19 con Signals reactivos y componentes autónomos).</w:t>
      </w:r>
      <w:r/>
    </w:p>
    <w:p>
      <w:pPr>
        <w:pBdr/>
        <w:spacing/>
        <w:ind/>
        <w:rPr/>
      </w:pPr>
      <w:r>
        <w:rPr>
          <w:b/>
        </w:rPr>
        <w:t xml:space="preserve">Catálogo de Actores y Roles del Sistema Involucrados:</w:t>
        <w:br/>
      </w:r>
      <w:r/>
    </w:p>
    <w:p>
      <w:pPr>
        <w:pStyle w:val="743"/>
        <w:pBdr/>
        <w:spacing w:after="60"/>
        <w:ind/>
        <w:rPr/>
      </w:pPr>
      <w:r>
        <w:rPr>
          <w:b/>
          <w:color w:val="0f766e"/>
        </w:rPr>
        <w:t xml:space="preserve">Médico Tratante / Personal Clínico (Usuario Operativo): </w:t>
      </w:r>
      <w:r>
        <w:t xml:space="preserve">Profesional de la salud a</w:t>
      </w:r>
      <w:r>
        <w:t xml:space="preserve">utorizado que redacta la evolución del paciente, prescribe esquemas terapéuticos siguiendo el formato SOAP, emite formalmente notas médicas en estado DRAFT, anula borradores con error y asocia documentos anexos (estudios, analíticas) a la historia clínica.</w:t>
      </w:r>
      <w:r/>
    </w:p>
    <w:p>
      <w:pPr>
        <w:pStyle w:val="743"/>
        <w:pBdr/>
        <w:spacing w:after="60"/>
        <w:ind/>
        <w:rPr/>
      </w:pPr>
      <w:r>
        <w:rPr>
          <w:b/>
          <w:color w:val="0f766e"/>
        </w:rPr>
        <w:t xml:space="preserve">Supervisor Clínico / Jefe de Servicio (Supervisor): </w:t>
      </w:r>
      <w:r>
        <w:t xml:space="preserve">Auditor médico o director clínico con atribuciones para supervisar notas médicas, aprobar cambios de estado, verificar consistencia documental y ejecutar la baja justificada de historias clínicas erróneas o duplicadas.</w:t>
      </w:r>
      <w:r/>
    </w:p>
    <w:p>
      <w:pPr>
        <w:pStyle w:val="743"/>
        <w:pBdr/>
        <w:spacing w:after="60"/>
        <w:ind/>
        <w:rPr/>
      </w:pPr>
      <w:r>
        <w:rPr>
          <w:b/>
          <w:color w:val="0f766e"/>
        </w:rPr>
        <w:t xml:space="preserve">Administrador de Tenant (Administrador de la Clínica/Hospital): </w:t>
      </w:r>
      <w:r>
        <w:t xml:space="preserve">Responsable administrativo y de gobernanza documental del tenant. Posee privilegios de gestión global, administración de permisos RBAC, consulta de pistas de auditoría inmutables y ejecución de bajas justificadas de expedientes.</w:t>
      </w:r>
      <w:r/>
    </w:p>
    <w:p>
      <w:pPr>
        <w:pStyle w:val="743"/>
        <w:pBdr/>
        <w:spacing w:after="60"/>
        <w:ind/>
        <w:rPr/>
      </w:pPr>
      <w:r>
        <w:rPr>
          <w:b/>
          <w:color w:val="0f766e"/>
        </w:rPr>
        <w:t xml:space="preserve">Paciente (Sujeto de Atención): </w:t>
      </w:r>
      <w:r>
        <w:t xml:space="preserve">Titular de los datos clínicos. Aunque no opera directamente el backend operativo, es el eje legal de la historia clínica: sus derechos ARCO, integridad documental y confidencialidad son resguardados por el sistema de permisos y auditoría.</w:t>
      </w:r>
      <w:r/>
    </w:p>
    <w:p>
      <w:pPr>
        <w:pStyle w:val="743"/>
        <w:pBdr/>
        <w:spacing w:after="60"/>
        <w:ind/>
        <w:rPr/>
      </w:pPr>
      <w:r>
        <w:rPr>
          <w:b/>
          <w:color w:val="0f766e"/>
        </w:rPr>
        <w:t xml:space="preserve">Auditor de Seguridad y Cumplimiento Legal (Auditor): </w:t>
      </w:r>
      <w:r>
        <w:t xml:space="preserve">Actor supervisor que fiscaliza la tabla audit_events, verificando que ninguna historia clínica se elimine físicamente y que cualquier baja lógica cuente con fecha, usuario y justificación mínima de 10 caracteres.</w:t>
      </w:r>
      <w:r/>
    </w:p>
    <w:p>
      <w:pPr>
        <w:pBdr/>
        <w:spacing w:after="160"/>
        <w:ind/>
        <w:rPr/>
      </w:pPr>
      <w:r/>
      <w:r/>
    </w:p>
    <w:p>
      <w:pPr>
        <w:pStyle w:val="713"/>
        <w:pBdr/>
        <w:spacing/>
        <w:ind/>
        <w:rPr/>
      </w:pPr>
      <w:r>
        <w:rPr>
          <w:color w:val="087f7b"/>
        </w:rPr>
        <w:t xml:space="preserve">2. HU-09: Estado y Ciclo de Vida de Notas Médicas</w:t>
      </w:r>
      <w:r/>
    </w:p>
    <w:p>
      <w:pPr>
        <w:pBdr/>
        <w:spacing w:line="276" w:lineRule="auto"/>
        <w:ind/>
        <w:rPr/>
      </w:pPr>
      <w:r>
        <w:t xml:space="preserve">Objetivo y Alcance: Garantizar la persistencia formal, gobernanza clínica y validez legal del ciclo de vida de las notas médicas mediant</w:t>
      </w:r>
      <w:r>
        <w:t xml:space="preserve">e un campo de estado real en la base de datos, validación estricta de transiciones en backend, un endpoint seguro de actualización y la erradicación absoluta del hack simulado en frontend que dependía de anteponer '[BORRADOR]' en el texto plano de la nota.</w:t>
      </w:r>
      <w:r/>
    </w:p>
    <w:tbl>
      <w:tblPr>
        <w:jc w:val="center"/>
        <w:tblW w:w="0" w:type="auto"/>
        <w:tblBorders/>
        <w:tblLayout w:type="fixed"/>
        <w:tblLook w:val="04A0" w:firstRow="1" w:lastRow="0" w:firstColumn="1" w:lastColumn="0" w:noHBand="0" w:noVBand="1"/>
      </w:tblPr>
      <w:tblGrid>
        <w:gridCol w:w="9936"/>
      </w:tblGrid>
      <w:tr>
        <w:trPr/>
        <w:tc>
          <w:tcPr>
            <w:shd w:val="clear" w:color="auto" w:fill="f0fdfa"/>
            <w:tcBorders>
              <w:top w:val="none" w:color="000000" w:sz="4" w:space="0"/>
              <w:left w:val="single" w:color="087f7b" w:sz="24" w:space="0"/>
              <w:bottom w:val="none" w:color="000000" w:sz="4" w:space="0"/>
              <w:right w:val="none" w:color="000000" w:sz="4" w:space="0"/>
            </w:tcBorders>
            <w:tcMar>
              <w:left w:w="200" w:type="dxa"/>
              <w:top w:w="140" w:type="dxa"/>
              <w:right w:w="180" w:type="dxa"/>
              <w:bottom w:w="140" w:type="dxa"/>
            </w:tcMar>
            <w:tcW w:w="9360" w:type="dxa"/>
          </w:tcPr>
          <w:p>
            <w:pPr>
              <w:pBdr/>
              <w:spacing w:after="80" w:before="0"/>
              <w:ind/>
              <w:rPr/>
            </w:pPr>
            <w:r>
              <w:rPr>
                <w:rFonts w:ascii="Calibri" w:hAnsi="Calibri"/>
                <w:b/>
                <w:color w:val="087f7b"/>
                <w:sz w:val="20"/>
              </w:rPr>
              <w:t xml:space="preserve">📌 REGLA CLÍNICA DE ORO (INMUTABILIDAD DE ESTADOS TERMINALES)</w:t>
              <w:br/>
            </w:r>
            <w:r>
              <w:rPr>
                <w:rFonts w:ascii="Calibri" w:hAnsi="Calibri"/>
                <w:color w:val="1e293b"/>
                <w:sz w:val="19"/>
              </w:rPr>
              <w:t xml:space="preserve">La historia clínica es un documento médico-legal. Una nota en estado 'DRAFT' (Borrador) p</w:t>
            </w:r>
            <w:r>
              <w:rPr>
                <w:rFonts w:ascii="Calibri" w:hAnsi="Calibri"/>
                <w:color w:val="1e293b"/>
                <w:sz w:val="19"/>
              </w:rPr>
              <w:t xml:space="preserve">uede ser emitida a 'APPROVED' (Vigente) o cancelada a 'VOIDED' (Anulada). Una vez que la nota pasa a 'APPROVED' o 'VOIDED', alcanza un estado terminal: QUEDA ESTRICTAMENTE PROHIBIDO cualquier cambio posterior, garantizando no-repudio e inmutabilidad legal.</w:t>
            </w:r>
            <w:r/>
          </w:p>
        </w:tc>
      </w:tr>
    </w:tbl>
    <w:p>
      <w:pPr>
        <w:pBdr/>
        <w:spacing w:after="80"/>
        <w:ind/>
        <w:rPr/>
      </w:pPr>
      <w:r/>
      <w:r/>
    </w:p>
    <w:p>
      <w:pPr>
        <w:pBdr/>
        <w:spacing/>
        <w:ind/>
        <w:rPr/>
      </w:pPr>
      <w:r>
        <w:rPr>
          <w:b/>
        </w:rPr>
        <w:t xml:space="preserve">Actores que Intervienen en HU-09:</w:t>
        <w:br/>
      </w:r>
      <w:r>
        <w:t xml:space="preserve">• Médico Tratante: Redacta la nota médica inicial (creada automáticamente como DRAFT o APPROVED según necesidad operativa). Desde su panel puede pulsar '✓ Emitir' para formalizar la nota o '✕ Anular' si cometió una equivocación.</w:t>
        <w:br/>
      </w:r>
      <w:r>
        <w:t xml:space="preserve">• Supervisor / Administrador: Audita el estado de las notas mediante filtros especializados en el endpoint de consulta.</w:t>
        <w:br/>
      </w: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3312"/>
        <w:gridCol w:w="3312"/>
        <w:gridCol w:w="3312"/>
      </w:tblGrid>
      <w:tr>
        <w:trPr/>
        <w:tc>
          <w:tcPr>
            <w:shd w:val="clear" w:color="auto" w:fill="087f7b"/>
            <w:tcBorders/>
            <w:tcMar>
              <w:left w:w="140" w:type="dxa"/>
              <w:top w:w="100" w:type="dxa"/>
              <w:right w:w="140" w:type="dxa"/>
              <w:bottom w:w="100" w:type="dxa"/>
            </w:tcMar>
            <w:tcW w:w="2592" w:type="dxa"/>
            <w:vAlign w:val="center"/>
          </w:tcPr>
          <w:p>
            <w:pPr>
              <w:pBdr/>
              <w:spacing w:after="40" w:before="40"/>
              <w:ind/>
              <w:rPr/>
            </w:pPr>
            <w:r>
              <w:rPr>
                <w:rFonts w:ascii="Calibri" w:hAnsi="Calibri"/>
                <w:b/>
                <w:color w:val="ffffff"/>
                <w:sz w:val="19"/>
              </w:rPr>
              <w:t xml:space="preserve">Capa Arquitectural</w:t>
            </w:r>
            <w:r/>
          </w:p>
        </w:tc>
        <w:tc>
          <w:tcPr>
            <w:shd w:val="clear" w:color="auto" w:fill="087f7b"/>
            <w:tcBorders/>
            <w:tcMar>
              <w:left w:w="140" w:type="dxa"/>
              <w:top w:w="100" w:type="dxa"/>
              <w:right w:w="140" w:type="dxa"/>
              <w:bottom w:w="100" w:type="dxa"/>
            </w:tcMar>
            <w:tcW w:w="3312" w:type="dxa"/>
            <w:vAlign w:val="center"/>
          </w:tcPr>
          <w:p>
            <w:pPr>
              <w:pBdr/>
              <w:spacing w:after="40" w:before="40"/>
              <w:ind/>
              <w:rPr/>
            </w:pPr>
            <w:r>
              <w:rPr>
                <w:rFonts w:ascii="Calibri" w:hAnsi="Calibri"/>
                <w:b/>
                <w:color w:val="ffffff"/>
                <w:sz w:val="19"/>
              </w:rPr>
              <w:t xml:space="preserve">Artefacto / Archivo</w:t>
            </w:r>
            <w:r/>
          </w:p>
        </w:tc>
        <w:tc>
          <w:tcPr>
            <w:shd w:val="clear" w:color="auto" w:fill="087f7b"/>
            <w:tcBorders/>
            <w:tcMar>
              <w:left w:w="140" w:type="dxa"/>
              <w:top w:w="100" w:type="dxa"/>
              <w:right w:w="140" w:type="dxa"/>
              <w:bottom w:w="100" w:type="dxa"/>
            </w:tcMar>
            <w:tcW w:w="3456" w:type="dxa"/>
            <w:vAlign w:val="center"/>
          </w:tcPr>
          <w:p>
            <w:pPr>
              <w:pBdr/>
              <w:spacing w:after="40" w:before="40"/>
              <w:ind/>
              <w:rPr/>
            </w:pPr>
            <w:r>
              <w:rPr>
                <w:rFonts w:ascii="Calibri" w:hAnsi="Calibri"/>
                <w:b/>
                <w:color w:val="ffffff"/>
                <w:sz w:val="19"/>
              </w:rPr>
              <w:t xml:space="preserve">Implementación Específica en Código</w:t>
            </w:r>
            <w:r/>
          </w:p>
        </w:tc>
      </w:tr>
      <w:tr>
        <w:trPr/>
        <w:tc>
          <w:tcPr>
            <w:shd w:val="clear" w:color="auto" w:fill="f8fafc"/>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Base de Datos (SQL)</w:t>
            </w:r>
            <w:r/>
          </w:p>
        </w:tc>
        <w:tc>
          <w:tcPr>
            <w:shd w:val="clear" w:color="auto" w:fill="f8fafc"/>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020_medical_note_status.sql</w:t>
            </w:r>
            <w:r/>
          </w:p>
        </w:tc>
        <w:tc>
          <w:tcPr>
            <w:shd w:val="clear" w:color="auto" w:fill="f8fafc"/>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1. Agrega columna status document_status NOT NULL DEFAULT 'DRAFT'.</w:t>
              <w:br/>
              <w:t xml:space="preserve">2. Backfill defensivo SET status = 'DRAFT' WHERE status IS NULL.</w:t>
              <w:br/>
              <w:t xml:space="preserve">3. Constraint chk_medical_notes</w:t>
            </w:r>
            <w:r>
              <w:rPr>
                <w:rFonts w:ascii="Calibri" w:hAnsi="Calibri"/>
                <w:color w:val="1e293b"/>
                <w:sz w:val="18"/>
              </w:rPr>
              <w:t xml:space="preserve">_status CHECK (status IN ('DRAFT', 'APPROVED', 'VOIDED')).</w:t>
              <w:br/>
              <w:t xml:space="preserve">4. Índice compuesto idx_medical_notes_tenant_status (tenant_id, status).</w:t>
              <w:br/>
              <w:t xml:space="preserve">5. GRANT UPDATE ON medical_notes TO nexodocs_app.</w:t>
              <w:br/>
              <w:t xml:space="preserve">6. Permiso 'medical_note:update' asignado a Admin, Supervisor y Operativo.</w:t>
            </w:r>
            <w:r/>
          </w:p>
        </w:tc>
      </w:tr>
      <w:tr>
        <w:trPr/>
        <w:tc>
          <w:tcPr>
            <w:shd w:val="clear" w:color="auto" w:fill="ffffff"/>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Modelo y DTOs (Java)</w:t>
            </w:r>
            <w:r/>
          </w:p>
        </w:tc>
        <w:tc>
          <w:tcPr>
            <w:shd w:val="clear" w:color="auto" w:fill="ffffff"/>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MedicalNote.java</w:t>
              <w:br/>
              <w:t xml:space="preserve">MedicalNoteRequest.java</w:t>
              <w:br/>
              <w:t xml:space="preserve">MedicalNoteResponse.java</w:t>
              <w:br/>
              <w:t xml:space="preserve">MedicalNoteStatusRequest.java</w:t>
            </w:r>
            <w:r/>
          </w:p>
        </w:tc>
        <w:tc>
          <w:tcPr>
            <w:shd w:val="clear" w:color="auto" w:fill="ffffff"/>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MedicalNote: campo s</w:t>
            </w:r>
            <w:r>
              <w:rPr>
                <w:rFonts w:ascii="Calibri" w:hAnsi="Calibri"/>
                <w:color w:val="1e293b"/>
                <w:sz w:val="18"/>
              </w:rPr>
              <w:t xml:space="preserve">tatus de tipo enum DocumentStatus persistido con @Enumerated.</w:t>
              <w:br/>
              <w:t xml:space="preserve">• MedicalNoteRequest: incluye status inicial configurable.</w:t>
              <w:br/>
              <w:t xml:space="preserve">• MedicalNoteResponse: expone status a clientes de la API.</w:t>
              <w:br/>
              <w:t xml:space="preserve">• MedicalNoteStatusRequest: DTO con @NotNull para el endpoint de transición.</w:t>
            </w:r>
            <w:r/>
          </w:p>
        </w:tc>
      </w:tr>
      <w:tr>
        <w:trPr/>
        <w:tc>
          <w:tcPr>
            <w:shd w:val="clear" w:color="auto" w:fill="f8fafc"/>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Servicio de Negocio</w:t>
            </w:r>
            <w:r/>
          </w:p>
        </w:tc>
        <w:tc>
          <w:tcPr>
            <w:shd w:val="clear" w:color="auto" w:fill="f8fafc"/>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MedicalNoteService.java</w:t>
            </w:r>
            <w:r/>
          </w:p>
        </w:tc>
        <w:tc>
          <w:tcPr>
            <w:shd w:val="clear" w:color="auto" w:fill="f8fafc"/>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transition(UUID id,</w:t>
            </w:r>
            <w:r>
              <w:rPr>
                <w:rFonts w:ascii="Calibri" w:hAnsi="Calibri"/>
                <w:color w:val="1e293b"/>
                <w:sz w:val="18"/>
              </w:rPr>
              <w:t xml:space="preserve"> DocumentStatus targetStatus):</w:t>
              <w:br/>
              <w:t xml:space="preserve">  - Valida que currentStatus sea DRAFT.</w:t>
              <w:br/>
              <w:t xml:space="preserve">  - Valida que targetStatus sea únicamente APPROVED o VOIDED.</w:t>
              <w:br/>
              <w:t xml:space="preserve">  - Si ya está en APPROVED o VOIDED lanza IllegalStateException.</w:t>
              <w:br/>
              <w:t xml:space="preserve">• find(): soporte de filtrado opcional por DocumentStatus.</w:t>
            </w:r>
            <w:r/>
          </w:p>
        </w:tc>
      </w:tr>
      <w:tr>
        <w:trPr/>
        <w:tc>
          <w:tcPr>
            <w:shd w:val="clear" w:color="auto" w:fill="ffffff"/>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Controlador REST</w:t>
            </w:r>
            <w:r/>
          </w:p>
        </w:tc>
        <w:tc>
          <w:tcPr>
            <w:shd w:val="clear" w:color="auto" w:fill="ffffff"/>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MedicalNoteController.java</w:t>
            </w:r>
            <w:r/>
          </w:p>
        </w:tc>
        <w:tc>
          <w:tcPr>
            <w:shd w:val="clear" w:color="auto" w:fill="ffffff"/>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PATCH /api/v1/medical-notes/{id}/status con @PreAuthorize("hasAuthority('medical_note:update')").</w:t>
              <w:br/>
              <w:t xml:space="preserve">• GET /api/v1/medical-notes admite parámetro opcional ?status=DRAFT|APPROVED|VOIDED.</w:t>
            </w:r>
            <w:r/>
          </w:p>
        </w:tc>
      </w:tr>
      <w:tr>
        <w:trPr/>
        <w:tc>
          <w:tcPr>
            <w:shd w:val="clear" w:color="auto" w:fill="f8fafc"/>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Frontend Angular</w:t>
            </w:r>
            <w:r/>
          </w:p>
        </w:tc>
        <w:tc>
          <w:tcPr>
            <w:shd w:val="clear" w:color="auto" w:fill="f8fafc"/>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clinical-api.service.ts</w:t>
              <w:br/>
              <w:t xml:space="preserve">clinical.types.ts</w:t>
              <w:br/>
              <w:t xml:space="preserve">notas-medicas-page.ts</w:t>
            </w:r>
            <w:r/>
          </w:p>
        </w:tc>
        <w:tc>
          <w:tcPr>
            <w:shd w:val="clear" w:color="auto" w:fill="f8fafc"/>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Erradicación total de la función isDraftNote(content.startsWith('[BORR</w:t>
            </w:r>
            <w:r>
              <w:rPr>
                <w:rFonts w:ascii="Calibri" w:hAnsi="Calibri"/>
                <w:color w:val="1e293b"/>
                <w:sz w:val="18"/>
              </w:rPr>
              <w:t xml:space="preserve">ADOR]')).</w:t>
              <w:br/>
              <w:t xml:space="preserve">• Inclusión de botones de acción rápida '✓ Emitir' y '✕ Anular' en el timeline cuando note.status === 'DRAFT'.</w:t>
              <w:br/>
              <w:t xml:space="preserve">• Badges de color dinámicos: 🟡 BORRADOR, 🟢 VIGENTE, 🔴 ANULADA.</w:t>
              <w:br/>
              <w:t xml:space="preserve">• Deshabilitación reactiva (isUpdatingStatus) para prevenir doble click.</w:t>
            </w:r>
            <w:r/>
          </w:p>
        </w:tc>
      </w:tr>
      <w:tr>
        <w:trPr/>
        <w:tc>
          <w:tcPr>
            <w:shd w:val="clear" w:color="auto" w:fill="ffffff"/>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Pruebas Unitarias</w:t>
            </w:r>
            <w:r/>
          </w:p>
        </w:tc>
        <w:tc>
          <w:tcPr>
            <w:shd w:val="clear" w:color="auto" w:fill="ffffff"/>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MedicalNoteServiceTest.java</w:t>
            </w:r>
            <w:r/>
          </w:p>
        </w:tc>
        <w:tc>
          <w:tcPr>
            <w:shd w:val="clear" w:color="auto" w:fill="ffffff"/>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1. shouldCreateNoteWithDraftStatus()</w:t>
              <w:br/>
              <w:t xml:space="preserve">2. shouldAllowTransitionFromDraftToApproved()</w:t>
              <w:br/>
              <w:t xml:space="preserve">3. shouldAllowTransitionFromDraftToVoided()</w:t>
              <w:br/>
              <w:t xml:space="preserve">4. shouldRejectTransitionFromApproved()</w:t>
            </w:r>
            <w:r/>
          </w:p>
        </w:tc>
      </w:tr>
    </w:tbl>
    <w:p>
      <w:pPr>
        <w:pBdr/>
        <w:spacing w:after="240"/>
        <w:ind/>
        <w:rPr/>
      </w:pPr>
      <w:r/>
      <w:r/>
    </w:p>
    <w:p>
      <w:pPr>
        <w:pStyle w:val="713"/>
        <w:pBdr/>
        <w:spacing/>
        <w:ind/>
        <w:rPr/>
      </w:pPr>
      <w:r>
        <w:rPr>
          <w:color w:val="087f7b"/>
        </w:rPr>
        <w:t xml:space="preserve">3. HU-10: Editor de Texto Enriquecido (TipTap) y Sanitización XSS (Jsoup)</w:t>
      </w:r>
      <w:r/>
    </w:p>
    <w:p>
      <w:pPr>
        <w:pBdr/>
        <w:spacing w:line="276" w:lineRule="auto"/>
        <w:ind/>
        <w:rPr/>
      </w:pPr>
      <w:r>
        <w:t xml:space="preserve">Objetivo y Alcance: Transformar la redacción clínica tradicional en una experiencia médica moderna mediante la integración del editor WYSIWYG TipT</w:t>
      </w:r>
      <w:r>
        <w:t xml:space="preserve">ap en los cuatro campos del protocolo SOAP (Subjetivo, Objetivo, Análisis, Plan), garantizando a la vez seguridad absoluta contra ataques de Cross-Site Scripting (XSS) y ejecución arbitraria mediante sanitización estricta server-side con la librería Jsoup.</w:t>
      </w:r>
      <w:r/>
    </w:p>
    <w:tbl>
      <w:tblPr>
        <w:jc w:val="center"/>
        <w:tblW w:w="0" w:type="auto"/>
        <w:tblBorders/>
        <w:tblLayout w:type="fixed"/>
        <w:tblLook w:val="04A0" w:firstRow="1" w:lastRow="0" w:firstColumn="1" w:lastColumn="0" w:noHBand="0" w:noVBand="1"/>
      </w:tblPr>
      <w:tblGrid>
        <w:gridCol w:w="9936"/>
      </w:tblGrid>
      <w:tr>
        <w:trPr/>
        <w:tc>
          <w:tcPr>
            <w:shd w:val="clear" w:color="auto" w:fill="f0fdfa"/>
            <w:tcBorders>
              <w:top w:val="none" w:color="000000" w:sz="4" w:space="0"/>
              <w:left w:val="single" w:color="087f7b" w:sz="24" w:space="0"/>
              <w:bottom w:val="none" w:color="000000" w:sz="4" w:space="0"/>
              <w:right w:val="none" w:color="000000" w:sz="4" w:space="0"/>
            </w:tcBorders>
            <w:tcMar>
              <w:left w:w="200" w:type="dxa"/>
              <w:top w:w="140" w:type="dxa"/>
              <w:right w:w="180" w:type="dxa"/>
              <w:bottom w:w="140" w:type="dxa"/>
            </w:tcMar>
            <w:tcW w:w="9360" w:type="dxa"/>
          </w:tcPr>
          <w:p>
            <w:pPr>
              <w:pBdr/>
              <w:spacing w:after="80" w:before="0"/>
              <w:ind/>
              <w:rPr/>
            </w:pPr>
            <w:r>
              <w:rPr>
                <w:rFonts w:ascii="Calibri" w:hAnsi="Calibri"/>
                <w:b/>
                <w:color w:val="087f7b"/>
                <w:sz w:val="20"/>
              </w:rPr>
              <w:t xml:space="preserve">📌 ARQUITECTURA DE SEGURIDAD DEFENSIVA CONTRA XSS</w:t>
              <w:br/>
            </w:r>
            <w:r>
              <w:rPr>
                <w:rFonts w:ascii="Calibri" w:hAnsi="Calibri"/>
                <w:color w:val="1e293b"/>
                <w:sz w:val="19"/>
              </w:rPr>
              <w:t xml:space="preserve">PRINCIPIO ZERO-TRUST EN EL BACKEND: Aunque el frontend Angular use DomSanitizer, NUNCA se confía en los datos enviados por el cliente. Todo payload HTML recib</w:t>
            </w:r>
            <w:r>
              <w:rPr>
                <w:rFonts w:ascii="Calibri" w:hAnsi="Calibri"/>
                <w:color w:val="1e293b"/>
                <w:sz w:val="19"/>
              </w:rPr>
              <w:t xml:space="preserve">ido por el endpoint POST de notas médicas pasa obligatoriamente por HtmlSanitizerService en Spring Boot. Cualquier etiqueta &lt;script&gt;, &lt;iframe&gt;, o atributo de ejecución en línea ('onload', 'onerror', 'onclick') es erradicado antes de tocar la base de datos.</w:t>
            </w:r>
            <w:r/>
          </w:p>
        </w:tc>
      </w:tr>
    </w:tbl>
    <w:p>
      <w:pPr>
        <w:pBdr/>
        <w:spacing w:after="80"/>
        <w:ind/>
        <w:rPr/>
      </w:pPr>
      <w:r/>
      <w:r/>
    </w:p>
    <w:p>
      <w:pPr>
        <w:pBdr/>
        <w:spacing/>
        <w:ind/>
        <w:rPr/>
      </w:pPr>
      <w:r>
        <w:rPr>
          <w:b/>
        </w:rPr>
        <w:t xml:space="preserve">Actores que Intervienen en HU-10:</w:t>
        <w:br/>
      </w:r>
      <w:r>
        <w:t xml:space="preserve">• Médico Tratante: Utiliza la barra de herramientas para aplicar negritas, cursivas, listas ordenadas de prescripción, viñetas de síntomas y citas diagnósticas, mejorando radicalmente la legibilidad del expediente.</w:t>
        <w:br/>
      </w:r>
      <w:r>
        <w:t xml:space="preserve">• Paciente y Destinatarios de la Receta: Reciben notas médicas e impresiones oficiales estructuradas, legibles y claras, sin textos planos apiñados.</w:t>
        <w:br/>
      </w:r>
      <w:r>
        <w:t xml:space="preserve">• Oficial de Seguridad de la Información (CISO): Garantía de cumplimiento OWASP Top 10 A03:2021 (Injection) mediante Safelist quirúrgico en el backend.</w:t>
        <w:br/>
      </w: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3312"/>
        <w:gridCol w:w="3312"/>
        <w:gridCol w:w="3312"/>
      </w:tblGrid>
      <w:tr>
        <w:trPr/>
        <w:tc>
          <w:tcPr>
            <w:shd w:val="clear" w:color="auto" w:fill="087f7b"/>
            <w:tcBorders/>
            <w:tcMar>
              <w:left w:w="140" w:type="dxa"/>
              <w:top w:w="100" w:type="dxa"/>
              <w:right w:w="140" w:type="dxa"/>
              <w:bottom w:w="100" w:type="dxa"/>
            </w:tcMar>
            <w:tcW w:w="2592" w:type="dxa"/>
            <w:vAlign w:val="center"/>
          </w:tcPr>
          <w:p>
            <w:pPr>
              <w:pBdr/>
              <w:spacing w:after="40" w:before="40"/>
              <w:ind/>
              <w:rPr/>
            </w:pPr>
            <w:r>
              <w:rPr>
                <w:rFonts w:ascii="Calibri" w:hAnsi="Calibri"/>
                <w:b/>
                <w:color w:val="ffffff"/>
                <w:sz w:val="19"/>
              </w:rPr>
              <w:t xml:space="preserve">Capa Arquitectural</w:t>
            </w:r>
            <w:r/>
          </w:p>
        </w:tc>
        <w:tc>
          <w:tcPr>
            <w:shd w:val="clear" w:color="auto" w:fill="087f7b"/>
            <w:tcBorders/>
            <w:tcMar>
              <w:left w:w="140" w:type="dxa"/>
              <w:top w:w="100" w:type="dxa"/>
              <w:right w:w="140" w:type="dxa"/>
              <w:bottom w:w="100" w:type="dxa"/>
            </w:tcMar>
            <w:tcW w:w="3312" w:type="dxa"/>
            <w:vAlign w:val="center"/>
          </w:tcPr>
          <w:p>
            <w:pPr>
              <w:pBdr/>
              <w:spacing w:after="40" w:before="40"/>
              <w:ind/>
              <w:rPr/>
            </w:pPr>
            <w:r>
              <w:rPr>
                <w:rFonts w:ascii="Calibri" w:hAnsi="Calibri"/>
                <w:b/>
                <w:color w:val="ffffff"/>
                <w:sz w:val="19"/>
              </w:rPr>
              <w:t xml:space="preserve">Artefacto / Archivo</w:t>
            </w:r>
            <w:r/>
          </w:p>
        </w:tc>
        <w:tc>
          <w:tcPr>
            <w:shd w:val="clear" w:color="auto" w:fill="087f7b"/>
            <w:tcBorders/>
            <w:tcMar>
              <w:left w:w="140" w:type="dxa"/>
              <w:top w:w="100" w:type="dxa"/>
              <w:right w:w="140" w:type="dxa"/>
              <w:bottom w:w="100" w:type="dxa"/>
            </w:tcMar>
            <w:tcW w:w="3456" w:type="dxa"/>
            <w:vAlign w:val="center"/>
          </w:tcPr>
          <w:p>
            <w:pPr>
              <w:pBdr/>
              <w:spacing w:after="40" w:before="40"/>
              <w:ind/>
              <w:rPr/>
            </w:pPr>
            <w:r>
              <w:rPr>
                <w:rFonts w:ascii="Calibri" w:hAnsi="Calibri"/>
                <w:b/>
                <w:color w:val="ffffff"/>
                <w:sz w:val="19"/>
              </w:rPr>
              <w:t xml:space="preserve">Implementación Específica en Código</w:t>
            </w:r>
            <w:r/>
          </w:p>
        </w:tc>
      </w:tr>
      <w:tr>
        <w:trPr/>
        <w:tc>
          <w:tcPr>
            <w:shd w:val="clear" w:color="auto" w:fill="f8fafc"/>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Backend Dependencies</w:t>
            </w:r>
            <w:r/>
          </w:p>
        </w:tc>
        <w:tc>
          <w:tcPr>
            <w:shd w:val="clear" w:color="auto" w:fill="f8fafc"/>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pom.xml</w:t>
              <w:br/>
              <w:t xml:space="preserve">backend/bootstrap/pom.xml</w:t>
            </w:r>
            <w:r/>
          </w:p>
        </w:tc>
        <w:tc>
          <w:tcPr>
            <w:shd w:val="clear" w:color="auto" w:fill="f8fafc"/>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Inclusión de la dependencia jsoup:1.18.3 para análisis sintáctico y limpieza segura de árboles DOM HTML.</w:t>
            </w:r>
            <w:r/>
          </w:p>
        </w:tc>
      </w:tr>
      <w:tr>
        <w:trPr/>
        <w:tc>
          <w:tcPr>
            <w:shd w:val="clear" w:color="auto" w:fill="ffffff"/>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Servicio Sanitizador</w:t>
            </w:r>
            <w:r/>
          </w:p>
        </w:tc>
        <w:tc>
          <w:tcPr>
            <w:shd w:val="clear" w:color="auto" w:fill="ffffff"/>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HtmlSanitizerService.java</w:t>
            </w:r>
            <w:r/>
          </w:p>
        </w:tc>
        <w:tc>
          <w:tcPr>
            <w:shd w:val="clear" w:color="auto" w:fill="ffffff"/>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Implementación de CLINICAL_NOTE_SAFELIST:</w:t>
              <w:br/>
              <w:t xml:space="preserve">  Safelist.none().addTags("p", "br", "strong", "b", "em", "i", "u",</w:t>
            </w:r>
            <w:r>
              <w:rPr>
                <w:rFonts w:ascii="Calibri" w:hAnsi="Calibri"/>
                <w:color w:val="1e293b"/>
                <w:sz w:val="18"/>
              </w:rPr>
              <w:t xml:space="preserve"> "s", "strike", "ul", "ol", "li", "h1", "h2", "h3", "h4", "blockquote", "code", "pre", "hr").addAttributes("code", "class");</w:t>
              <w:br/>
              <w:t xml:space="preserve">• sanitize(String html): Jsoup.clean(html, CLINICAL_NOTE_SAFELIST).</w:t>
              <w:br/>
              <w:t xml:space="preserve">• Retorno de cadena vacía segura ante inputs nulos o en blanco.</w:t>
            </w:r>
            <w:r/>
          </w:p>
        </w:tc>
      </w:tr>
      <w:tr>
        <w:trPr/>
        <w:tc>
          <w:tcPr>
            <w:shd w:val="clear" w:color="auto" w:fill="f8fafc"/>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Capa de Negocio</w:t>
            </w:r>
            <w:r/>
          </w:p>
        </w:tc>
        <w:tc>
          <w:tcPr>
            <w:shd w:val="clear" w:color="auto" w:fill="f8fafc"/>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MedicalNoteService.java</w:t>
            </w:r>
            <w:r/>
          </w:p>
        </w:tc>
        <w:tc>
          <w:tcPr>
            <w:shd w:val="clear" w:color="auto" w:fill="f8fafc"/>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Inyección </w:t>
            </w:r>
            <w:r>
              <w:rPr>
                <w:rFonts w:ascii="Calibri" w:hAnsi="Calibri"/>
                <w:color w:val="1e293b"/>
                <w:sz w:val="18"/>
              </w:rPr>
              <w:t xml:space="preserve">de HtmlSanitizerService en el constructor.</w:t>
              <w:br/>
              <w:t xml:space="preserve">• Limpieza previa a la persistencia:</w:t>
              <w:br/>
              <w:t xml:space="preserve">  String cleanContent = sanitizer.sanitize(rawContent);</w:t>
              <w:br/>
              <w:t xml:space="preserve">• Validación de guardia: Si cleanContent queda vacío tras eliminar etiquetas maliciosas, lanza IllegalArgumentException.</w:t>
            </w:r>
            <w:r/>
          </w:p>
        </w:tc>
      </w:tr>
      <w:tr>
        <w:trPr/>
        <w:tc>
          <w:tcPr>
            <w:shd w:val="clear" w:color="auto" w:fill="ffffff"/>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Componente Angular</w:t>
            </w:r>
            <w:r/>
          </w:p>
        </w:tc>
        <w:tc>
          <w:tcPr>
            <w:shd w:val="clear" w:color="auto" w:fill="ffffff"/>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rich-text-editor.component.ts</w:t>
            </w:r>
            <w:r/>
          </w:p>
        </w:tc>
        <w:tc>
          <w:tcPr>
            <w:shd w:val="clear" w:color="auto" w:fill="ffffff"/>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Componente Standalone con ControlValueAccessor (NG_VALUE_ACCESSOR).</w:t>
              <w:br/>
              <w:t xml:space="preserve">• Integración con @tiptap/core y @tiptap/starter-kit.</w:t>
              <w:br/>
              <w:t xml:space="preserve">• Tool</w:t>
            </w:r>
            <w:r>
              <w:rPr>
                <w:rFonts w:ascii="Calibri" w:hAnsi="Calibri"/>
                <w:color w:val="1e293b"/>
                <w:sz w:val="18"/>
              </w:rPr>
              <w:t xml:space="preserve">bar interactiva con botones: Negrita (B), Cursiva (I), Tachado (S), Título H2, Subtítulo H3, Viñetas, Lista numerada, Cita médica, Deshacer y Rehacer.</w:t>
              <w:br/>
              <w:t xml:space="preserve">• Detección de estado activo (editor.isActive).</w:t>
              <w:br/>
              <w:t xml:space="preserve">• Sincronización bidireccional limpia con Reactive Forms.</w:t>
            </w:r>
            <w:r/>
          </w:p>
        </w:tc>
      </w:tr>
      <w:tr>
        <w:trPr/>
        <w:tc>
          <w:tcPr>
            <w:shd w:val="clear" w:color="auto" w:fill="f8fafc"/>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Vista Clínica &amp; Formulario</w:t>
            </w:r>
            <w:r/>
          </w:p>
        </w:tc>
        <w:tc>
          <w:tcPr>
            <w:shd w:val="clear" w:color="auto" w:fill="f8fafc"/>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notas-medicas-page.ts</w:t>
            </w:r>
            <w:r/>
          </w:p>
        </w:tc>
        <w:tc>
          <w:tcPr>
            <w:shd w:val="clear" w:color="auto" w:fill="f8fafc"/>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Sustitución de &lt;textarea&gt; por &lt;app-rich-text-editor&gt; en los 4 campos SOAP</w:t>
            </w:r>
            <w:r>
              <w:rPr>
                <w:rFonts w:ascii="Calibri" w:hAnsi="Calibri"/>
                <w:color w:val="1e293b"/>
                <w:sz w:val="18"/>
              </w:rPr>
              <w:t xml:space="preserve"> (subjective, objective, assessment, plan).</w:t>
              <w:br/>
              <w:t xml:space="preserve">• Ensamblaje SOAP a HTML semántico estructurado: &lt;h3&gt;Título&lt;/h3&gt;&lt;p&gt;&lt;strong&gt;[SUBJETIVO]&lt;/strong&gt;&lt;/p&gt;...</w:t>
              <w:br/>
              <w:t xml:space="preserve">• Visualización segura: renderContent(content) usando DomSanitizer para timeline y hoja de impresión oficial.</w:t>
            </w:r>
            <w:r/>
          </w:p>
        </w:tc>
      </w:tr>
      <w:tr>
        <w:trPr/>
        <w:tc>
          <w:tcPr>
            <w:shd w:val="clear" w:color="auto" w:fill="ffffff"/>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Pruebas Unitarias</w:t>
            </w:r>
            <w:r/>
          </w:p>
        </w:tc>
        <w:tc>
          <w:tcPr>
            <w:shd w:val="clear" w:color="auto" w:fill="ffffff"/>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HtmlSanitizerServiceTest.java</w:t>
            </w:r>
            <w:r/>
          </w:p>
        </w:tc>
        <w:tc>
          <w:tcPr>
            <w:shd w:val="clear" w:color="auto" w:fill="ffffff"/>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1. sho</w:t>
            </w:r>
            <w:r>
              <w:rPr>
                <w:rFonts w:ascii="Calibri" w:hAnsi="Calibri"/>
                <w:color w:val="1e293b"/>
                <w:sz w:val="18"/>
              </w:rPr>
              <w:t xml:space="preserve">uldPreserveSafeTags(): Valida conservación de p, strong, em, ul, li.</w:t>
              <w:br/>
              <w:t xml:space="preserve">2. shouldStripScriptAndEventHandlers(): Valida eliminación de &lt;script&gt;alert()&lt;/script&gt; y &lt;img onerror='alert(1)'&gt;.</w:t>
              <w:br/>
              <w:t xml:space="preserve">3. shouldHandleNullAndEmpty(): Valida manejo seguro de nulos y espacios.</w:t>
            </w:r>
            <w:r/>
          </w:p>
        </w:tc>
      </w:tr>
    </w:tbl>
    <w:p>
      <w:pPr>
        <w:pBdr/>
        <w:spacing w:after="240"/>
        <w:ind/>
        <w:rPr/>
      </w:pPr>
      <w:r/>
      <w:r/>
    </w:p>
    <w:p>
      <w:pPr>
        <w:pStyle w:val="713"/>
        <w:pBdr/>
        <w:spacing/>
        <w:ind/>
        <w:rPr/>
      </w:pPr>
      <w:r>
        <w:rPr>
          <w:color w:val="087f7b"/>
        </w:rPr>
        <w:t xml:space="preserve">4. HU-11: Baja Clínica Justificada y Trazabilidad Documental</w:t>
      </w:r>
      <w:r/>
    </w:p>
    <w:p>
      <w:pPr>
        <w:pBdr/>
        <w:spacing w:line="276" w:lineRule="auto"/>
        <w:ind/>
        <w:rPr/>
      </w:pPr>
      <w:r>
        <w:t xml:space="preserve">Objetivo y Alcance: Cumplir con la legislación y los estándares de auditoría</w:t>
      </w:r>
      <w:r>
        <w:t xml:space="preserve"> médica más exigentes, donde un expediente clínico NUNCA puede ser destruido físicamente de la base de datos (prohibición de DELETE físico). En su lugar, se implementa una baja lógica justificada (soft delete) que exige un motivo explícito de al menos 10 c</w:t>
      </w:r>
      <w:r>
        <w:t xml:space="preserve">aracteres, registra usuario y marca de tiempo, y escribe un evento inmutable en audit_events. Adicionalmente, habilita la vinculación y desvinculación formal de documentos clínicos (analíticas, estudios por imágenes, consentimientos) a la historia clínica.</w:t>
      </w:r>
      <w:r/>
    </w:p>
    <w:tbl>
      <w:tblPr>
        <w:jc w:val="center"/>
        <w:tblW w:w="0" w:type="auto"/>
        <w:tblBorders/>
        <w:tblLayout w:type="fixed"/>
        <w:tblLook w:val="04A0" w:firstRow="1" w:lastRow="0" w:firstColumn="1" w:lastColumn="0" w:noHBand="0" w:noVBand="1"/>
      </w:tblPr>
      <w:tblGrid>
        <w:gridCol w:w="9936"/>
      </w:tblGrid>
      <w:tr>
        <w:trPr/>
        <w:tc>
          <w:tcPr>
            <w:shd w:val="clear" w:color="auto" w:fill="fef2f2"/>
            <w:tcBorders>
              <w:top w:val="none" w:color="000000" w:sz="4" w:space="0"/>
              <w:left w:val="single" w:color="dc2626" w:sz="24" w:space="0"/>
              <w:bottom w:val="none" w:color="000000" w:sz="4" w:space="0"/>
              <w:right w:val="none" w:color="000000" w:sz="4" w:space="0"/>
            </w:tcBorders>
            <w:tcMar>
              <w:left w:w="200" w:type="dxa"/>
              <w:top w:w="140" w:type="dxa"/>
              <w:right w:w="180" w:type="dxa"/>
              <w:bottom w:w="140" w:type="dxa"/>
            </w:tcMar>
            <w:tcW w:w="9360" w:type="dxa"/>
          </w:tcPr>
          <w:p>
            <w:pPr>
              <w:pBdr/>
              <w:spacing w:after="80" w:before="0"/>
              <w:ind/>
              <w:rPr/>
            </w:pPr>
            <w:r>
              <w:rPr>
                <w:rFonts w:ascii="Calibri" w:hAnsi="Calibri"/>
                <w:b/>
                <w:color w:val="dc2626"/>
                <w:sz w:val="20"/>
              </w:rPr>
              <w:t xml:space="preserve">📌 AUDITORÍA LEGAL Y REQUISITO DE JUSTIFICACIÓN OBLIGATORIA</w:t>
              <w:br/>
            </w:r>
            <w:r>
              <w:rPr>
                <w:rFonts w:ascii="Calibri" w:hAnsi="Calibri"/>
                <w:color w:val="1e293b"/>
                <w:sz w:val="19"/>
              </w:rPr>
              <w:t xml:space="preserve">TRAZABILIDAD FORENSE INMUTABLE: Cada invocación a DELETE /api/v1/clinical-histories/{id} persiste un registro en la tabla 'audit_events' con action='CLIN</w:t>
            </w:r>
            <w:r>
              <w:rPr>
                <w:rFonts w:ascii="Calibri" w:hAnsi="Calibri"/>
                <w:color w:val="1e293b"/>
                <w:sz w:val="19"/>
              </w:rPr>
              <w:t xml:space="preserve">ICAL_HISTORY_DELETED', entidad='clinical_history', ID del usuario, tenant_id y el payload JSON con la justificación ingresada. Las consultas del sistema excluyen automáticamente expedientes con deleted_at IS NOT NULL gracias a un índice parcial optimizado.</w:t>
            </w:r>
            <w:r/>
          </w:p>
        </w:tc>
      </w:tr>
    </w:tbl>
    <w:p>
      <w:pPr>
        <w:pBdr/>
        <w:spacing w:after="80"/>
        <w:ind/>
        <w:rPr/>
      </w:pPr>
      <w:r/>
      <w:r/>
    </w:p>
    <w:p>
      <w:pPr>
        <w:pBdr/>
        <w:spacing/>
        <w:ind/>
        <w:rPr/>
      </w:pPr>
      <w:r>
        <w:rPr>
          <w:b/>
        </w:rPr>
        <w:t xml:space="preserve">Actores que Intervienen en HU-11:</w:t>
        <w:br/>
      </w:r>
      <w:r>
        <w:t xml:space="preserve">• Supervisor / Administrador de Tenant: Único perfil facultado para solicitar y autorizar la baja clínica justificada de una historia clínica (por duplicidad, error de asignación de paciente, etc.).</w:t>
        <w:br/>
      </w:r>
      <w:r>
        <w:t xml:space="preserve">• Médico Tratante: Consulta el expediente activo, visualiza los documentos anexos en la nueva pestaña 'Documentos', vincula nuevos estudios complementarios e informes de laboratorio, y desvincula aquellos anexados por error.</w:t>
        <w:br/>
      </w:r>
      <w:r>
        <w:t xml:space="preserve">• Auditor Médico / Legal: Inspecciona la traza de eventos de auditoría para verificar quién, cuándo y por qué razón clínica se dio de baja un expediente.</w:t>
        <w:br/>
      </w:r>
      <w:r/>
    </w:p>
    <w:tbl>
      <w:tblPr>
        <w:jc w:val="center"/>
        <w:tblW w:w="0" w:type="auto"/>
        <w:tblBorders>
          <w:top w:val="single" w:color="cbd5e1" w:sz="4" w:space="0"/>
          <w:left w:val="none" w:color="000000" w:sz="4" w:space="0"/>
          <w:bottom w:val="single" w:color="cbd5e1" w:sz="4" w:space="0"/>
          <w:right w:val="none" w:color="000000" w:sz="4" w:space="0"/>
          <w:insideH w:val="single" w:color="cbd5e1" w:sz="4" w:space="0"/>
          <w:insideV w:val="none" w:color="000000" w:sz="4" w:space="0"/>
        </w:tblBorders>
        <w:tblLayout w:type="fixed"/>
        <w:tblLook w:val="04A0" w:firstRow="1" w:lastRow="0" w:firstColumn="1" w:lastColumn="0" w:noHBand="0" w:noVBand="1"/>
      </w:tblPr>
      <w:tblGrid>
        <w:gridCol w:w="3312"/>
        <w:gridCol w:w="3312"/>
        <w:gridCol w:w="3312"/>
      </w:tblGrid>
      <w:tr>
        <w:trPr/>
        <w:tc>
          <w:tcPr>
            <w:shd w:val="clear" w:color="auto" w:fill="087f7b"/>
            <w:tcBorders/>
            <w:tcMar>
              <w:left w:w="140" w:type="dxa"/>
              <w:top w:w="100" w:type="dxa"/>
              <w:right w:w="140" w:type="dxa"/>
              <w:bottom w:w="100" w:type="dxa"/>
            </w:tcMar>
            <w:tcW w:w="2592" w:type="dxa"/>
            <w:vAlign w:val="center"/>
          </w:tcPr>
          <w:p>
            <w:pPr>
              <w:pBdr/>
              <w:spacing w:after="40" w:before="40"/>
              <w:ind/>
              <w:rPr/>
            </w:pPr>
            <w:r>
              <w:rPr>
                <w:rFonts w:ascii="Calibri" w:hAnsi="Calibri"/>
                <w:b/>
                <w:color w:val="ffffff"/>
                <w:sz w:val="19"/>
              </w:rPr>
              <w:t xml:space="preserve">Capa Arquitectural</w:t>
            </w:r>
            <w:r/>
          </w:p>
        </w:tc>
        <w:tc>
          <w:tcPr>
            <w:shd w:val="clear" w:color="auto" w:fill="087f7b"/>
            <w:tcBorders/>
            <w:tcMar>
              <w:left w:w="140" w:type="dxa"/>
              <w:top w:w="100" w:type="dxa"/>
              <w:right w:w="140" w:type="dxa"/>
              <w:bottom w:w="100" w:type="dxa"/>
            </w:tcMar>
            <w:tcW w:w="3312" w:type="dxa"/>
            <w:vAlign w:val="center"/>
          </w:tcPr>
          <w:p>
            <w:pPr>
              <w:pBdr/>
              <w:spacing w:after="40" w:before="40"/>
              <w:ind/>
              <w:rPr/>
            </w:pPr>
            <w:r>
              <w:rPr>
                <w:rFonts w:ascii="Calibri" w:hAnsi="Calibri"/>
                <w:b/>
                <w:color w:val="ffffff"/>
                <w:sz w:val="19"/>
              </w:rPr>
              <w:t xml:space="preserve">Artefacto / Archivo</w:t>
            </w:r>
            <w:r/>
          </w:p>
        </w:tc>
        <w:tc>
          <w:tcPr>
            <w:shd w:val="clear" w:color="auto" w:fill="087f7b"/>
            <w:tcBorders/>
            <w:tcMar>
              <w:left w:w="140" w:type="dxa"/>
              <w:top w:w="100" w:type="dxa"/>
              <w:right w:w="140" w:type="dxa"/>
              <w:bottom w:w="100" w:type="dxa"/>
            </w:tcMar>
            <w:tcW w:w="3456" w:type="dxa"/>
            <w:vAlign w:val="center"/>
          </w:tcPr>
          <w:p>
            <w:pPr>
              <w:pBdr/>
              <w:spacing w:after="40" w:before="40"/>
              <w:ind/>
              <w:rPr/>
            </w:pPr>
            <w:r>
              <w:rPr>
                <w:rFonts w:ascii="Calibri" w:hAnsi="Calibri"/>
                <w:b/>
                <w:color w:val="ffffff"/>
                <w:sz w:val="19"/>
              </w:rPr>
              <w:t xml:space="preserve">Implementación Específica en Código</w:t>
            </w:r>
            <w:r/>
          </w:p>
        </w:tc>
      </w:tr>
      <w:tr>
        <w:trPr/>
        <w:tc>
          <w:tcPr>
            <w:shd w:val="clear" w:color="auto" w:fill="f8fafc"/>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Base de Datos (SQL)</w:t>
            </w:r>
            <w:r/>
          </w:p>
        </w:tc>
        <w:tc>
          <w:tcPr>
            <w:shd w:val="clear" w:color="auto" w:fill="f8fafc"/>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021_clinical_history_soft_delete_and_links.sql</w:t>
            </w:r>
            <w:r/>
          </w:p>
        </w:tc>
        <w:tc>
          <w:tcPr>
            <w:shd w:val="clear" w:color="auto" w:fill="f8fafc"/>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1. clinical_histories: columnas deleted_at timestamptz, deletion_reason text, deleted_by uuid.</w:t>
              <w:br/>
              <w:t xml:space="preserve">2. Índice parcial idx_clinical_histories_active (tenant_id, patient_id) WHERE deleted_at IS NULL.</w:t>
              <w:br/>
              <w:t xml:space="preserve">3. Permisos DML para nexodocs_app s</w:t>
            </w:r>
            <w:r>
              <w:rPr>
                <w:rFonts w:ascii="Calibri" w:hAnsi="Calibri"/>
                <w:color w:val="1e293b"/>
                <w:sz w:val="18"/>
              </w:rPr>
              <w:t xml:space="preserve">obre clinical_document_links y clinical_histories.</w:t>
              <w:br/>
              <w:t xml:space="preserve">4. Permisos de seguridad: 'clinical_history:delete' y 'clinical_document:link' otorgados a Admin, Supervisor y Operativo.</w:t>
              <w:br/>
              <w:t xml:space="preserve">5. Registro en app.schema_migrations('021_clinical_history_soft_delete_and_links').</w:t>
            </w:r>
            <w:r/>
          </w:p>
        </w:tc>
      </w:tr>
      <w:tr>
        <w:trPr/>
        <w:tc>
          <w:tcPr>
            <w:shd w:val="clear" w:color="auto" w:fill="ffffff"/>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Entidades JPA</w:t>
            </w:r>
            <w:r/>
          </w:p>
        </w:tc>
        <w:tc>
          <w:tcPr>
            <w:shd w:val="clear" w:color="auto" w:fill="ffffff"/>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ClinicalHistory.java</w:t>
              <w:br/>
              <w:t xml:space="preserve">ClinicalDocumentLink.java</w:t>
              <w:br/>
              <w:t xml:space="preserve">ClinicalDocumentLinkId.java</w:t>
              <w:br/>
              <w:t xml:space="preserve">AuditEvent.java</w:t>
            </w:r>
            <w:r/>
          </w:p>
        </w:tc>
        <w:tc>
          <w:tcPr>
            <w:shd w:val="clear" w:color="auto" w:fill="ffffff"/>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ClinicalHistory: mapeo</w:t>
            </w:r>
            <w:r>
              <w:rPr>
                <w:rFonts w:ascii="Calibri" w:hAnsi="Calibri"/>
                <w:color w:val="1e293b"/>
                <w:sz w:val="18"/>
              </w:rPr>
              <w:t xml:space="preserve"> de deletedAt, deletionReason y deletedBy.</w:t>
              <w:br/>
              <w:t xml:space="preserve">• ClinicalDocumentLink: entidad de relación muchos a muchos con clave compuesta (documentId, patientId), tenantId, clinicalHistoryId y linkedAt.</w:t>
              <w:br/>
              <w:t xml:space="preserve">• AuditEvent: modelo de eventos de auditoría inmutables del sistema.</w:t>
            </w:r>
            <w:r/>
          </w:p>
        </w:tc>
      </w:tr>
      <w:tr>
        <w:trPr/>
        <w:tc>
          <w:tcPr>
            <w:shd w:val="clear" w:color="auto" w:fill="f8fafc"/>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Repositorios Spring Data</w:t>
            </w:r>
            <w:r/>
          </w:p>
        </w:tc>
        <w:tc>
          <w:tcPr>
            <w:shd w:val="clear" w:color="auto" w:fill="f8fafc"/>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ClinicalHistoryRepository.java</w:t>
              <w:br/>
              <w:t xml:space="preserve">ClinicalDocumentLinkRepository.java</w:t>
              <w:br/>
              <w:t xml:space="preserve">DocumentRepository.java</w:t>
            </w:r>
            <w:r/>
          </w:p>
        </w:tc>
        <w:tc>
          <w:tcPr>
            <w:shd w:val="clear" w:color="auto" w:fill="f8fafc"/>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findByIdAndTenantIdAndDeletedAtIsNull(): asegura exclusión de registros dados de baja.</w:t>
              <w:br/>
              <w:t xml:space="preserve">• ClinicalDocumentLinkRepository: soporte para exists, delete y consulta por historia clínica.</w:t>
              <w:br/>
              <w:t xml:space="preserve">• DocumentRepository: query nativa/JPQL findLinkedToClinicalHistory().</w:t>
            </w:r>
            <w:r/>
          </w:p>
        </w:tc>
      </w:tr>
      <w:tr>
        <w:trPr/>
        <w:tc>
          <w:tcPr>
            <w:shd w:val="clear" w:color="auto" w:fill="ffffff"/>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Servicio de Negocio</w:t>
            </w:r>
            <w:r/>
          </w:p>
        </w:tc>
        <w:tc>
          <w:tcPr>
            <w:shd w:val="clear" w:color="auto" w:fill="ffffff"/>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ClinicalHistoryService.java</w:t>
            </w:r>
            <w:r/>
          </w:p>
        </w:tc>
        <w:tc>
          <w:tcPr>
            <w:shd w:val="clear" w:color="auto" w:fill="ffffff"/>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delete(UUID id, DeleteClinicalHistoryRequest request):</w:t>
              <w:br/>
              <w:t xml:space="preserve">  - Valida request.reason() &gt;= 10 caracteres.</w:t>
              <w:br/>
              <w:t xml:space="preserve">  - Recupera historia clínica activa (lanza 404 si ya estaba eliminada).</w:t>
              <w:br/>
              <w:t xml:space="preserve">  - Aplica timestamp, us</w:t>
            </w:r>
            <w:r>
              <w:rPr>
                <w:rFonts w:ascii="Calibri" w:hAnsi="Calibri"/>
                <w:color w:val="1e293b"/>
                <w:sz w:val="18"/>
              </w:rPr>
              <w:t xml:space="preserve">uario autenticado y motivo.</w:t>
              <w:br/>
              <w:t xml:space="preserve">  - Construye y persiste AuditEvent(action='CLINICAL_HISTORY_DELETED', result='SUCCESS').</w:t>
              <w:br/>
              <w:t xml:space="preserve">• getLinkedDocuments(historyId): consulta y mapeo a DocumentResponse.</w:t>
              <w:br/>
              <w:t xml:space="preserve">• linkDocument(historyId, docId) &amp; unlinkDocument(historyId, docId).</w:t>
            </w:r>
            <w:r/>
          </w:p>
        </w:tc>
      </w:tr>
      <w:tr>
        <w:trPr/>
        <w:tc>
          <w:tcPr>
            <w:shd w:val="clear" w:color="auto" w:fill="f8fafc"/>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Controlador REST</w:t>
            </w:r>
            <w:r/>
          </w:p>
        </w:tc>
        <w:tc>
          <w:tcPr>
            <w:shd w:val="clear" w:color="auto" w:fill="f8fafc"/>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ClinicalHistoryController.java</w:t>
            </w:r>
            <w:r/>
          </w:p>
        </w:tc>
        <w:tc>
          <w:tcPr>
            <w:shd w:val="clear" w:color="auto" w:fill="f8fafc"/>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DELETE /api/v1/clinical-histories/{id} </w:t>
            </w:r>
            <w:r>
              <w:rPr>
                <w:rFonts w:ascii="Calibri" w:hAnsi="Calibri"/>
                <w:color w:val="1e293b"/>
                <w:sz w:val="18"/>
              </w:rPr>
              <w:t xml:space="preserve">con @PreAuthorize("hasAnyAuthority('clinical_history:delete', 'patient:delete')").</w:t>
              <w:br/>
              <w:t xml:space="preserve">• GET /api/v1/clinical-histories/{id}/documents</w:t>
              <w:br/>
              <w:t xml:space="preserve">• POST /api/v1/clinical-histories/{id}/documents/{documentId}</w:t>
              <w:br/>
              <w:t xml:space="preserve">• DELETE /api/v1/clinical-histories/{id}/documents/{documentId}</w:t>
            </w:r>
            <w:r/>
          </w:p>
        </w:tc>
      </w:tr>
      <w:tr>
        <w:trPr/>
        <w:tc>
          <w:tcPr>
            <w:shd w:val="clear" w:color="auto" w:fill="ffffff"/>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Frontend Angular</w:t>
            </w:r>
            <w:r/>
          </w:p>
        </w:tc>
        <w:tc>
          <w:tcPr>
            <w:shd w:val="clear" w:color="auto" w:fill="ffffff"/>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clinical-api.service.ts</w:t>
              <w:br/>
              <w:t xml:space="preserve">historia-clinica-page.ts</w:t>
            </w:r>
            <w:r/>
          </w:p>
        </w:tc>
        <w:tc>
          <w:tcPr>
            <w:shd w:val="clear" w:color="auto" w:fill="ffffff"/>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 Pestaña 'Documentos' en el selector de vista de la historia clínica.</w:t>
              <w:br/>
              <w:t xml:space="preserve">• Tabla de documentos anexos con cód</w:t>
            </w:r>
            <w:r>
              <w:rPr>
                <w:rFonts w:ascii="Calibri" w:hAnsi="Calibri"/>
                <w:color w:val="1e293b"/>
                <w:sz w:val="18"/>
              </w:rPr>
              <w:t xml:space="preserve">igo, nombre, autor, fecha y botones de acción.</w:t>
              <w:br/>
              <w:t xml:space="preserve">• Modal '+ Vincular Documento' para asociar estudios disponibles.</w:t>
              <w:br/>
              <w:t xml:space="preserve">• Botón 'Dar de Baja' en cabecera con modal de advertencia legal.</w:t>
              <w:br/>
              <w:t xml:space="preserve">• Validación en tiempo real del motivo de baja (&gt;= 10 caracteres requeridos).</w:t>
            </w:r>
            <w:r/>
          </w:p>
        </w:tc>
      </w:tr>
      <w:tr>
        <w:trPr/>
        <w:tc>
          <w:tcPr>
            <w:shd w:val="clear" w:color="auto" w:fill="f8fafc"/>
            <w:tcBorders/>
            <w:tcMar>
              <w:left w:w="140" w:type="dxa"/>
              <w:top w:w="100" w:type="dxa"/>
              <w:right w:w="140" w:type="dxa"/>
              <w:bottom w:w="100" w:type="dxa"/>
            </w:tcMar>
            <w:tcW w:w="2592" w:type="dxa"/>
            <w:vAlign w:val="center"/>
          </w:tcPr>
          <w:p>
            <w:pPr>
              <w:pBdr/>
              <w:spacing w:after="40" w:before="40"/>
              <w:ind/>
              <w:rPr/>
            </w:pPr>
            <w:r>
              <w:rPr>
                <w:rFonts w:ascii="Calibri" w:hAnsi="Calibri"/>
                <w:b/>
                <w:color w:val="1e293b"/>
                <w:sz w:val="18"/>
              </w:rPr>
              <w:t xml:space="preserve">Pruebas Unitarias</w:t>
            </w:r>
            <w:r/>
          </w:p>
        </w:tc>
        <w:tc>
          <w:tcPr>
            <w:shd w:val="clear" w:color="auto" w:fill="f8fafc"/>
            <w:tcBorders/>
            <w:tcMar>
              <w:left w:w="140" w:type="dxa"/>
              <w:top w:w="100" w:type="dxa"/>
              <w:right w:w="140" w:type="dxa"/>
              <w:bottom w:w="100" w:type="dxa"/>
            </w:tcMar>
            <w:tcW w:w="3312" w:type="dxa"/>
            <w:vAlign w:val="center"/>
          </w:tcPr>
          <w:p>
            <w:pPr>
              <w:pBdr/>
              <w:spacing w:after="40" w:before="40"/>
              <w:ind/>
              <w:rPr/>
            </w:pPr>
            <w:r>
              <w:rPr>
                <w:rFonts w:ascii="Calibri" w:hAnsi="Calibri"/>
                <w:color w:val="1e293b"/>
                <w:sz w:val="18"/>
              </w:rPr>
              <w:t xml:space="preserve">ClinicalHistorySoftDeleteTest.java</w:t>
            </w:r>
            <w:r/>
          </w:p>
        </w:tc>
        <w:tc>
          <w:tcPr>
            <w:shd w:val="clear" w:color="auto" w:fill="f8fafc"/>
            <w:tcBorders/>
            <w:tcMar>
              <w:left w:w="140" w:type="dxa"/>
              <w:top w:w="100" w:type="dxa"/>
              <w:right w:w="140" w:type="dxa"/>
              <w:bottom w:w="100" w:type="dxa"/>
            </w:tcMar>
            <w:tcW w:w="3456" w:type="dxa"/>
            <w:vAlign w:val="center"/>
          </w:tcPr>
          <w:p>
            <w:pPr>
              <w:pBdr/>
              <w:spacing w:after="40" w:before="40"/>
              <w:ind/>
              <w:rPr/>
            </w:pPr>
            <w:r>
              <w:rPr>
                <w:rFonts w:ascii="Calibri" w:hAnsi="Calibri"/>
                <w:color w:val="1e293b"/>
                <w:sz w:val="18"/>
              </w:rPr>
              <w:t xml:space="preserve">1. shouldPerformSoftDeleteWithJustificationAndAudit()</w:t>
              <w:br/>
              <w:t xml:space="preserve">2. shouldThrowNotFoundWhenAlreadyDeletedOrNotFound()</w:t>
              <w:br/>
              <w:t xml:space="preserve">3. shouldRejectWhenReasonIsTooShort()</w:t>
              <w:br/>
              <w:t xml:space="preserve">4. shouldLinkDocumentToClinicalHistory()</w:t>
              <w:br/>
              <w:t xml:space="preserve">5. shouldUnlinkDocument()</w:t>
            </w:r>
            <w:r/>
          </w:p>
        </w:tc>
      </w:tr>
    </w:tbl>
    <w:p>
      <w:pPr>
        <w:pBdr/>
        <w:spacing w:after="240"/>
        <w:ind/>
        <w:rPr/>
      </w:pPr>
      <w:r/>
      <w:r/>
    </w:p>
    <w:sectPr>
      <w:headerReference w:type="default" r:id="rId9"/>
      <w:footerReference w:type="default" r:id="rId10"/>
      <w:footnotePr/>
      <w:endnotePr/>
      <w:type w:val="nextPage"/>
      <w:pgSz w:h="15840" w:orient="portrait" w:w="12240"/>
      <w:pgMar w:top="1152" w:right="1152" w:bottom="1152"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w:panose1 w:val="05040102010807070707"/>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center"/>
      <w:rPr/>
    </w:pPr>
    <w:r>
      <w:rPr>
        <w:rFonts w:ascii="Calibri" w:hAnsi="Calibri"/>
        <w:color w:val="94a3b8"/>
        <w:sz w:val="17"/>
      </w:rPr>
      <w:t xml:space="preserve">Sistema de Gestión Documental y Expediente Clínico · Confidencial</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ind/>
      <w:jc w:val="right"/>
      <w:rPr/>
    </w:pPr>
    <w:r>
      <w:rPr>
        <w:rFonts w:ascii="Calibri" w:hAnsi="Calibri"/>
        <w:color w:val="94a3b8"/>
        <w:sz w:val="17"/>
      </w:rPr>
      <w:t xml:space="preserve">NexoDocs · Especificación Técnica y Funcional (Sprint 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2026-10-09T04:21:34Z</dcterms:modified>
  <cp:category/>
</cp:coreProperties>
</file>