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REFERÊNCIAS — AULA 06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Segurança em Aplicações Web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Bibliografia e links de estudo — Arquitetura de Aplicações Web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🛡️ Âncora da aula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FOUNDATION.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Top 10:2025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https://owasp.org/Top10/.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A referência central da aula: as 10 categorias de risco mais críticas, edição de novembro de 2025 (mais de 175 mil CVEs analisados). Ler ao menos as categorias A01 (Broken Access Control) e A02 (Security Misconfiguration).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📚 Documentação e guias práticos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FOUNDATION.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API Security Top 10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https://owasp.org/API-Security/.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Versão do Top 10 específica para APIs — BOLA (a versão de API do IDOR visto em aula) é o item nº 1.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FOUNDATION.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Cheat Sheet Series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https://cheatsheetseries.owasp.org/.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Receitas curtas de correção por tema: SQL Injection Prevention, Authorization, Mass Assignment, Secrets Management.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MICROSOFT.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Secure coding guidelines (.NET)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https://learn.microsoft.com/dotnet/standard/security/secure-coding-guidelines.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Diretrizes oficiais de código seguro na stack da disciplina.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MICROSOFT.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ASP.NET Core security topics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https://learn.microsoft.com/aspnet/core/security/.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Inclui o Secret Manager (user-secrets) e o tratamento de erros por ambiente usados na prática de hoje.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📖 Bibliografia complementar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FERREIRA, R.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Segurança em aplicações web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São Paulo: Casa do Código, 2017. 143 p. Disponível em: https://elibro.net/pt/lc/newtonpaiva/titulos/204025.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Leitura conceitual introdutória. Atenção: anterior às edições 2021 e 2025 do OWASP Top 10 — usar o site da OWASP como fonte atual do ranking.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BRANDÃO, Gustavo.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Arquitetura completa de software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São Paulo: Casa do Código, 2026. 431 p. ISBN 978-85-5519-418-4.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Capítulos de autenticação e autorização — ponte direta para a Aula 07.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🚀 Para a próxima aula (AuthN &amp; AuthZ)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JWT.IO.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Introduction to JSON Web Tokens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https://jwt.io/introduction.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Ler antes da Aula 07: hoje corrigimos o IDOR checando quem é o usuário — na próxima aula veremos COMO a API descobre isso (JWT, OAuth 2.0, OpenID Connect).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2026-07-30T00:04:51.955Z</dcterms:created>
  <dcterms:modified xsi:type="dcterms:W3CDTF">2026-07-30T00:04:51.955Z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