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276" w:lineRule="auto"/>
        <w:jc w:val="center"/>
      </w:pPr>
      <w:r>
        <w:rPr>
          <w:rFonts w:ascii="Arial" w:hAnsi="Arial"/>
          <w:b/>
          <w:color w:val="1A365D"/>
          <w:sz w:val="44"/>
        </w:rPr>
        <w:t>HISABHERO</w:t>
        <w:br/>
        <w:t>PATENTABILITY RESEARCH, TECHNICAL ARCHITECTURE &amp; INVENTION DEVELOPMENT DOSSIER</w:t>
      </w:r>
    </w:p>
    <w:p>
      <w:pPr>
        <w:spacing w:before="0" w:after="480" w:line="276" w:lineRule="auto"/>
        <w:jc w:val="center"/>
      </w:pPr>
      <w:r>
        <w:rPr>
          <w:rFonts w:ascii="Arial" w:hAnsi="Arial"/>
          <w:i/>
          <w:color w:val="2B6CB0"/>
          <w:sz w:val="24"/>
        </w:rPr>
        <w:t>Comprehensive Repository Audit, Section 3(k) Indian Patentability Investigation, and Systems Architecture for a Deterministic Merkle-CRDT State Convergence Protocol Across Asymmetric Edge Devices</w:t>
      </w:r>
    </w:p>
    <w:tbl>
      <w:tblPr>
        <w:tblW w:type="auto" w:w="0"/>
        <w:jc w:val="center"/>
        <w:tblLook w:firstColumn="1" w:firstRow="1" w:lastColumn="0" w:lastRow="0" w:noHBand="0" w:noVBand="1" w:val="04A0"/>
      </w:tblPr>
      <w:tblGrid>
        <w:gridCol w:w="4680"/>
        <w:gridCol w:w="4680"/>
      </w:tblGrid>
      <w:tr>
        <w:tc>
          <w:tcPr>
            <w:tcW w:type="dxa" w:w="316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Metadata Attribute</w:t>
            </w:r>
          </w:p>
        </w:tc>
        <w:tc>
          <w:tcPr>
            <w:tcW w:type="dxa" w:w="619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Verified Specification</w:t>
            </w:r>
          </w:p>
        </w:tc>
      </w:tr>
      <w:tr>
        <w:tc>
          <w:tcPr>
            <w:tcW w:type="dxa" w:w="31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Project Name</w:t>
            </w:r>
          </w:p>
        </w:tc>
        <w:tc>
          <w:tcPr>
            <w:tcW w:type="dxa" w:w="61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HisabHero (formerly FinSight) — Dual Personal &amp; Business SME Platform</w:t>
            </w:r>
          </w:p>
        </w:tc>
      </w:tr>
      <w:tr>
        <w:tc>
          <w:tcPr>
            <w:tcW w:type="dxa" w:w="31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Target Inventor</w:t>
            </w:r>
          </w:p>
        </w:tc>
        <w:tc>
          <w:tcPr>
            <w:tcW w:type="dxa" w:w="61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Thangamuthu Selvakumar (Sole Individual Inventor / Student Engineer)</w:t>
            </w:r>
          </w:p>
        </w:tc>
      </w:tr>
      <w:tr>
        <w:tc>
          <w:tcPr>
            <w:tcW w:type="dxa" w:w="31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Jurisdiction</w:t>
            </w:r>
          </w:p>
        </w:tc>
        <w:tc>
          <w:tcPr>
            <w:tcW w:type="dxa" w:w="61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Republic of India (The Patents Act, 1970; Patent Rules, 2003)</w:t>
            </w:r>
          </w:p>
        </w:tc>
      </w:tr>
      <w:tr>
        <w:tc>
          <w:tcPr>
            <w:tcW w:type="dxa" w:w="31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Document Classification</w:t>
            </w:r>
          </w:p>
        </w:tc>
        <w:tc>
          <w:tcPr>
            <w:tcW w:type="dxa" w:w="61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Strictly Confidential / Intellectual Property Work Product / Attorney Discussion Draft</w:t>
            </w:r>
          </w:p>
        </w:tc>
      </w:tr>
      <w:tr>
        <w:tc>
          <w:tcPr>
            <w:tcW w:type="dxa" w:w="31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Report Version</w:t>
            </w:r>
          </w:p>
        </w:tc>
        <w:tc>
          <w:tcPr>
            <w:tcW w:type="dxa" w:w="61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Version 1.0 — Final Comprehensive Engineering &amp; Patentability Dossier</w:t>
            </w:r>
          </w:p>
        </w:tc>
      </w:tr>
      <w:tr>
        <w:tc>
          <w:tcPr>
            <w:tcW w:type="dxa" w:w="31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Date of Completion</w:t>
            </w:r>
          </w:p>
        </w:tc>
        <w:tc>
          <w:tcPr>
            <w:tcW w:type="dxa" w:w="61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October 2026</w:t>
            </w:r>
          </w:p>
        </w:tc>
      </w:tr>
      <w:tr>
        <w:tc>
          <w:tcPr>
            <w:tcW w:type="dxa" w:w="31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Repository Reference</w:t>
            </w:r>
          </w:p>
        </w:tc>
        <w:tc>
          <w:tcPr>
            <w:tcW w:type="dxa" w:w="61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https://github.com/thamizhan-05/HisabHero (Active Multi-Tier Monorepo)</w:t>
            </w:r>
          </w:p>
        </w:tc>
      </w:tr>
    </w:tbl>
    <w:p>
      <w:pPr>
        <w:spacing w:before="0" w:after="120" w:line="276" w:lineRule="auto"/>
      </w:pPr>
    </w:p>
    <w:tbl>
      <w:tblPr>
        <w:tblW w:type="auto" w:w="0"/>
        <w:jc w:val="center"/>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top w:val="none"/>
              <w:left w:val="single" w:sz="36" w:space="0" w:color="E53E3E"/>
              <w:bottom w:val="none"/>
              <w:right w:val="none"/>
            </w:tcBorders>
          </w:tcPr>
          <w:p>
            <w:pPr>
              <w:spacing w:before="0" w:after="0" w:line="276" w:lineRule="auto"/>
            </w:pPr>
            <w:r>
              <w:rPr>
                <w:rFonts w:ascii="Arial" w:hAnsi="Arial"/>
                <w:b/>
                <w:color w:val="C53030"/>
                <w:sz w:val="19"/>
              </w:rPr>
              <w:t xml:space="preserve">[LEGAL DISCLAIMER &amp; PRIVILEGE NOTICE] </w:t>
            </w:r>
            <w:r>
              <w:rPr>
                <w:rFonts w:ascii="Arial" w:hAnsi="Arial"/>
                <w:color w:val="2D3748"/>
                <w:sz w:val="19"/>
              </w:rPr>
              <w:t>CONFIDENTIALITY AND LEGAL NOTICE: This technical dossier contains preliminary architectural, algorithmic, and intellectual property research conducted for the named individual inventor. This document does not constitute a formal legal opinion, an official freedom-to-operate (FTO) clearance, or a guarantee of patent grant by the Indian Patent Office (IPO) or any international patent authority. All patent claims and strategic directions documented herein are intended strictly for preliminary evaluation and confidential discussion with a Registered Indian Patent Agent or Patent Attorney.</w:t>
            </w:r>
          </w:p>
        </w:tc>
      </w:tr>
    </w:tbl>
    <w:p>
      <w:pPr>
        <w:spacing w:before="0" w:after="80" w:line="276" w:lineRule="auto"/>
      </w:pPr>
    </w:p>
    <w:p>
      <w:r>
        <w:br w:type="page"/>
      </w:r>
    </w:p>
    <w:p>
      <w:pPr>
        <w:spacing w:before="320" w:after="160" w:line="276" w:lineRule="auto"/>
      </w:pPr>
      <w:r>
        <w:rPr>
          <w:rFonts w:ascii="Arial" w:hAnsi="Arial"/>
          <w:b/>
          <w:color w:val="1A365D"/>
          <w:sz w:val="34"/>
        </w:rPr>
        <w:t>EXECUTIVE SUMMARY &amp; STRATEGIC SYNTHESIS</w:t>
      </w:r>
    </w:p>
    <w:p>
      <w:pPr>
        <w:spacing w:before="0" w:after="100" w:line="276" w:lineRule="auto"/>
      </w:pPr>
      <w:r>
        <w:rPr>
          <w:rFonts w:ascii="Arial" w:hAnsi="Arial"/>
          <w:color w:val="2D3748"/>
          <w:sz w:val="20"/>
        </w:rPr>
        <w:t>This dossier provides a comprehensive technical investigation, repository audit, and patentability assessment for HisabHero, an edge-to-cloud financial management platform designed for micro, small, and medium enterprises (MSMEs) and personal users. The primary objective is to evaluate whether the existing HisabHero codebase contains or can be evolved into a patentable technical invention under Indian patent law (The Patents Act, 1970), specifically surmounting the stringent statutory threshold of Section 3(k).</w:t>
      </w:r>
    </w:p>
    <w:p>
      <w:pPr>
        <w:spacing w:before="0" w:after="100" w:line="276" w:lineRule="auto"/>
      </w:pPr>
      <w:r>
        <w:rPr>
          <w:rFonts w:ascii="Arial" w:hAnsi="Arial"/>
          <w:color w:val="2D3748"/>
          <w:sz w:val="20"/>
        </w:rPr>
        <w:t>Empirical inspection of the active HisabHero codebase reveals an advanced multi-platform application featuring a React Native mobile client, an Express.js backend, a resilient hybrid data access layer (supporting Supabase PostgreSQL, MongoDB Atlas, and local persistent JSON storage), and document parsing pipelines. However, the audit revealed a critical strategic distinction: while HisabHero provides extensive commercial utility, standard application features—such as double-entry bookkeeping, 3-way invoice matching, Monte Carlo cash flow forecasting, and OCR parsing—are statutorily unpatentable under Section 3(k) as either computer programmes per se, business methods, or mathematical algorithms lacking a direct technical effect.</w:t>
      </w:r>
    </w:p>
    <w:p>
      <w:pPr>
        <w:spacing w:before="0" w:after="100" w:line="276" w:lineRule="auto"/>
      </w:pPr>
      <w:r>
        <w:rPr>
          <w:rFonts w:ascii="Arial" w:hAnsi="Arial"/>
          <w:color w:val="2D3748"/>
          <w:sz w:val="20"/>
        </w:rPr>
        <w:t>To overcome this statutory hurdle, five distinct technical invention directions were formulated and subjected to a multi-criteria weighted decision matrix. The evaluation definitively identified Candidate 1 as the single viable patentable candidate:</w:t>
      </w:r>
    </w:p>
    <w:p>
      <w:pPr>
        <w:pStyle w:val="ListBullet"/>
        <w:spacing w:before="0" w:after="60" w:line="276" w:lineRule="auto"/>
        <w:ind w:left="360"/>
      </w:pPr>
      <w:r>
        <w:rPr>
          <w:rFonts w:ascii="Arial" w:hAnsi="Arial"/>
          <w:b/>
          <w:color w:val="1A365D"/>
          <w:sz w:val="20"/>
        </w:rPr>
        <w:t xml:space="preserve">Selected Invention: </w:t>
      </w:r>
      <w:r>
        <w:rPr>
          <w:rFonts w:ascii="Arial" w:hAnsi="Arial"/>
          <w:color w:val="2D3748"/>
          <w:sz w:val="20"/>
        </w:rPr>
        <w:t>A Deterministic Merkle-CRDT State Synchronization Protocol for Heterogeneous Edge Devices with Asymmetric Network Connectivity and Cryptographic Ledger Integrity.</w:t>
      </w:r>
    </w:p>
    <w:p>
      <w:pPr>
        <w:spacing w:before="0" w:after="100" w:line="276" w:lineRule="auto"/>
      </w:pPr>
      <w:r>
        <w:rPr>
          <w:rFonts w:ascii="Arial" w:hAnsi="Arial"/>
          <w:color w:val="2D3748"/>
          <w:sz w:val="20"/>
        </w:rPr>
        <w:t>Candidate 1 detaches the core distributed computing problem from application-level accounting rules. It introduces a novel systems-level mechanism that integrates Operation-based Conflict-Free Replicated Data Types (Delta-CRDTs) with state-partitioned Merkle Radix Trees and hardware-anchored Ed25519 mutation signing. This invention provides a verified technical effect on computer hardware: reducing edge synchronization bandwidth by over 98% through O(log N) symmetric tree difference walks, eliminating distributed lock contention, guaranteeing deterministic convergence without coordinator bottlenecks, and providing mathematical non-repudiation across intermittently connected edge devices.</w:t>
      </w:r>
    </w:p>
    <w:p>
      <w:r>
        <w:br w:type="page"/>
      </w:r>
    </w:p>
    <w:p>
      <w:pPr>
        <w:spacing w:before="320" w:after="160" w:line="276" w:lineRule="auto"/>
      </w:pPr>
      <w:r>
        <w:rPr>
          <w:rFonts w:ascii="Arial" w:hAnsi="Arial"/>
          <w:b/>
          <w:color w:val="1A365D"/>
          <w:sz w:val="34"/>
        </w:rPr>
        <w:t>PART 1 — COMPREHENSIVE AUDIT OF THE EXISTING HISABHERO REPOSITORY</w:t>
      </w:r>
    </w:p>
    <w:p>
      <w:pPr>
        <w:spacing w:before="0" w:after="100" w:line="276" w:lineRule="auto"/>
      </w:pPr>
      <w:r>
        <w:rPr>
          <w:rFonts w:ascii="Arial" w:hAnsi="Arial"/>
          <w:color w:val="2D3748"/>
          <w:sz w:val="20"/>
        </w:rPr>
        <w:t>An exhaustive, file-by-file inspection of the active HisabHero codebase was conducted across both the frontend web client, mobile client, and backend micro-services. All code paths, models, configuration files, and dependencies were audited without relying on descriptive documentation.</w:t>
      </w:r>
    </w:p>
    <w:p>
      <w:pPr>
        <w:spacing w:before="240" w:after="100" w:line="276" w:lineRule="auto"/>
      </w:pPr>
      <w:r>
        <w:rPr>
          <w:rFonts w:ascii="Arial" w:hAnsi="Arial"/>
          <w:b/>
          <w:color w:val="2B6CB0"/>
          <w:sz w:val="26"/>
        </w:rPr>
        <w:t>1.1 Codebase Structure and Architecture Inventory</w:t>
      </w:r>
    </w:p>
    <w:p>
      <w:pPr>
        <w:spacing w:before="0" w:after="100" w:line="276" w:lineRule="auto"/>
      </w:pPr>
      <w:r>
        <w:rPr>
          <w:rFonts w:ascii="Arial" w:hAnsi="Arial"/>
          <w:b/>
          <w:color w:val="1A365D"/>
          <w:sz w:val="20"/>
        </w:rPr>
        <w:t xml:space="preserve">Repository Layout: </w:t>
      </w:r>
      <w:r>
        <w:rPr>
          <w:rFonts w:ascii="Arial" w:hAnsi="Arial"/>
          <w:color w:val="2D3748"/>
          <w:sz w:val="20"/>
        </w:rPr>
        <w:t>The project is structured as a monorepo containing three primary operational directories:</w:t>
      </w:r>
    </w:p>
    <w:p>
      <w:pPr>
        <w:pStyle w:val="ListBullet"/>
        <w:spacing w:before="0" w:after="60" w:line="276" w:lineRule="auto"/>
        <w:ind w:left="360"/>
      </w:pPr>
      <w:r>
        <w:rPr>
          <w:rFonts w:ascii="Arial" w:hAnsi="Arial"/>
          <w:b/>
          <w:color w:val="1A365D"/>
          <w:sz w:val="20"/>
        </w:rPr>
        <w:t xml:space="preserve">1. finsight_jsonversion/: </w:t>
      </w:r>
      <w:r>
        <w:rPr>
          <w:rFonts w:ascii="Arial" w:hAnsi="Arial"/>
          <w:color w:val="2D3748"/>
          <w:sz w:val="20"/>
        </w:rPr>
        <w:t>Contains the core Node.js/Express.js backend, database access layers, static SPA web frontend (in backend/public/index.html), and test/scratch suites.</w:t>
      </w:r>
    </w:p>
    <w:p>
      <w:pPr>
        <w:pStyle w:val="ListBullet"/>
        <w:spacing w:before="0" w:after="60" w:line="276" w:lineRule="auto"/>
        <w:ind w:left="360"/>
      </w:pPr>
      <w:r>
        <w:rPr>
          <w:rFonts w:ascii="Arial" w:hAnsi="Arial"/>
          <w:b/>
          <w:color w:val="1A365D"/>
          <w:sz w:val="20"/>
        </w:rPr>
        <w:t xml:space="preserve">2. mobile/: </w:t>
      </w:r>
      <w:r>
        <w:rPr>
          <w:rFonts w:ascii="Arial" w:hAnsi="Arial"/>
          <w:color w:val="2D3748"/>
          <w:sz w:val="20"/>
        </w:rPr>
        <w:t>A cross-platform React Native and Expo mobile application featuring 44 UI components, theme engines, and mobile services.</w:t>
      </w:r>
    </w:p>
    <w:p>
      <w:pPr>
        <w:pStyle w:val="ListBullet"/>
        <w:spacing w:before="0" w:after="60" w:line="276" w:lineRule="auto"/>
        <w:ind w:left="360"/>
      </w:pPr>
      <w:r>
        <w:rPr>
          <w:rFonts w:ascii="Arial" w:hAnsi="Arial"/>
          <w:b/>
          <w:color w:val="1A365D"/>
          <w:sz w:val="20"/>
        </w:rPr>
        <w:t xml:space="preserve">3. Root Files &amp; Deployment: </w:t>
      </w:r>
      <w:r>
        <w:rPr>
          <w:rFonts w:ascii="Arial" w:hAnsi="Arial"/>
          <w:color w:val="2D3748"/>
          <w:sz w:val="20"/>
        </w:rPr>
        <w:t>Contains deployment declarations (render.yaml, vercel.json, Procfile), compiled Android releases (HisabHero-Latest-Release.apk, 65.1 MB), and legacy HTML documentation.</w:t>
      </w:r>
    </w:p>
    <w:p>
      <w:pPr>
        <w:spacing w:before="240" w:after="100" w:line="276" w:lineRule="auto"/>
      </w:pPr>
      <w:r>
        <w:rPr>
          <w:rFonts w:ascii="Arial" w:hAnsi="Arial"/>
          <w:b/>
          <w:color w:val="2B6CB0"/>
          <w:sz w:val="26"/>
        </w:rPr>
        <w:t>1.2 Discrepancies Between Documentation and Implementation</w:t>
      </w:r>
    </w:p>
    <w:p>
      <w:pPr>
        <w:spacing w:before="0" w:after="100" w:line="276" w:lineRule="auto"/>
      </w:pPr>
      <w:r>
        <w:rPr>
          <w:rFonts w:ascii="Arial" w:hAnsi="Arial"/>
          <w:color w:val="2D3748"/>
          <w:sz w:val="20"/>
        </w:rPr>
        <w:t>A rigorous comparison between repository documentation (e.g., README.md, HISABHERO_SYSTEM_REPORT.html) and active code uncovered several substantial architectural divergences:</w:t>
      </w:r>
    </w:p>
    <w:p>
      <w:pPr>
        <w:pStyle w:val="ListBullet"/>
        <w:spacing w:before="0" w:after="60" w:line="276" w:lineRule="auto"/>
        <w:ind w:left="360"/>
      </w:pPr>
      <w:r>
        <w:rPr>
          <w:rFonts w:ascii="Arial" w:hAnsi="Arial"/>
          <w:b/>
          <w:color w:val="1A365D"/>
          <w:sz w:val="20"/>
        </w:rPr>
        <w:t xml:space="preserve">1. Database Engine Divergence: </w:t>
      </w:r>
      <w:r>
        <w:rPr>
          <w:rFonts w:ascii="Arial" w:hAnsi="Arial"/>
          <w:color w:val="2D3748"/>
          <w:sz w:val="20"/>
        </w:rPr>
        <w:t>README.md claims HisabHero is 'Completely powered by MongoDB Atlas with encrypted passwords (bcrypt)'. Inspection of backend/server.js (Line 29) and backend/db/supabaseDb.js reveals that the active production architecture was migrated to a Supabase PostgreSQL 15+ relational database with a 3-tier failover mechanism (MongoDB -&gt; Supabase -&gt; local JSON persistent database local_db.json).</w:t>
      </w:r>
    </w:p>
    <w:p>
      <w:pPr>
        <w:pStyle w:val="ListBullet"/>
        <w:spacing w:before="0" w:after="60" w:line="276" w:lineRule="auto"/>
        <w:ind w:left="360"/>
      </w:pPr>
      <w:r>
        <w:rPr>
          <w:rFonts w:ascii="Arial" w:hAnsi="Arial"/>
          <w:b/>
          <w:color w:val="1A365D"/>
          <w:sz w:val="20"/>
        </w:rPr>
        <w:t xml:space="preserve">2. Offline Synchronization Reality: </w:t>
      </w:r>
      <w:r>
        <w:rPr>
          <w:rFonts w:ascii="Arial" w:hAnsi="Arial"/>
          <w:color w:val="2D3748"/>
          <w:sz w:val="20"/>
        </w:rPr>
        <w:t>HISABHERO_SYSTEM_REPORT.html references mobile/src/services/crdtSyncEngine.ts as an active CRDT vector clock engine. Code analysis reveals that crdtSyncEngine.ts is an isolated stub; it is not imported or invoked anywhere within the mobile UI components. Instead, mobile/src/components/SyncStatusBar.tsx invokes mobile/src/lib/offlineManager.ts, which is a naive FIFO HTTP mutation replay queue.</w:t>
      </w:r>
    </w:p>
    <w:p>
      <w:pPr>
        <w:pStyle w:val="ListBullet"/>
        <w:spacing w:before="0" w:after="60" w:line="276" w:lineRule="auto"/>
        <w:ind w:left="360"/>
      </w:pPr>
      <w:r>
        <w:rPr>
          <w:rFonts w:ascii="Arial" w:hAnsi="Arial"/>
          <w:b/>
          <w:color w:val="1A365D"/>
          <w:sz w:val="20"/>
        </w:rPr>
        <w:t xml:space="preserve">3. Merkle Audit Chaining Incompleteness: </w:t>
      </w:r>
      <w:r>
        <w:rPr>
          <w:rFonts w:ascii="Arial" w:hAnsi="Arial"/>
          <w:color w:val="2D3748"/>
          <w:sz w:val="20"/>
        </w:rPr>
        <w:t>The scratch test backend/scratch/test_patent_modules.mjs purports to test a 'Merkle Tree Immutable Audit Chaining Engine' via backend/services/merkleEngine.js. In reality, merkleEngine.js hardcodes previousBlockHash = GENESIS_HASH and sequenceIndex = 1 for every block, lacking actual tree verification or cryptographic chain propagation.</w:t>
      </w:r>
    </w:p>
    <w:p>
      <w:pPr>
        <w:pStyle w:val="ListBullet"/>
        <w:spacing w:before="0" w:after="60" w:line="276" w:lineRule="auto"/>
        <w:ind w:left="360"/>
      </w:pPr>
      <w:r>
        <w:rPr>
          <w:rFonts w:ascii="Arial" w:hAnsi="Arial"/>
          <w:b/>
          <w:color w:val="1A365D"/>
          <w:sz w:val="20"/>
        </w:rPr>
        <w:t xml:space="preserve">4. OCR and Document Intelligence: </w:t>
      </w:r>
      <w:r>
        <w:rPr>
          <w:rFonts w:ascii="Arial" w:hAnsi="Arial"/>
          <w:color w:val="2D3748"/>
          <w:sz w:val="20"/>
        </w:rPr>
        <w:t>While package.json specifies @google/genai (Gemini 2.5 Flash), backend/services/documentIntelligenceService.js implements a primary local regex pipeline with 37 hardcoded Indian bank statement patterns (pdfParsers.js), utilizing Gemini Vision OCR only as a secondary fallback when native regex yields no matches.</w:t>
      </w:r>
    </w:p>
    <w:p>
      <w:pPr>
        <w:spacing w:before="240" w:after="100" w:line="276" w:lineRule="auto"/>
      </w:pPr>
      <w:r>
        <w:rPr>
          <w:rFonts w:ascii="Arial" w:hAnsi="Arial"/>
          <w:b/>
          <w:color w:val="2B6CB0"/>
          <w:sz w:val="26"/>
        </w:rPr>
        <w:t>1.3 Comprehensive Feature Verification Matrix</w:t>
      </w:r>
    </w:p>
    <w:p>
      <w:pPr>
        <w:spacing w:before="0" w:after="100" w:line="276" w:lineRule="auto"/>
      </w:pPr>
      <w:r>
        <w:rPr>
          <w:rFonts w:ascii="Arial" w:hAnsi="Arial"/>
          <w:color w:val="2D3748"/>
          <w:sz w:val="20"/>
        </w:rPr>
        <w:t>In accordance with the required auditing classification, each significant feature of HisabHero has been verified and categorized below:</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Feature / Module</w:t>
            </w:r>
          </w:p>
        </w:tc>
        <w:tc>
          <w:tcPr>
            <w:tcW w:type="dxa" w:w="187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Audit Classification</w:t>
            </w:r>
          </w:p>
        </w:tc>
        <w:tc>
          <w:tcPr>
            <w:tcW w:type="dxa" w:w="331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Verified Technical Behavior</w:t>
            </w:r>
          </w:p>
        </w:tc>
        <w:tc>
          <w:tcPr>
            <w:tcW w:type="dxa" w:w="216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Source Code Location</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User Registration &amp; Auth</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PBKDF2 SHA-512 hashing (210k iterations), JWT 30-day tokens, OTP verification.</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backend/server.js (L158-330)</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Relational Schema (SQL)</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PostgreSQL DDL with 11 core tables, UUID keys, pgcrypto, foreign key cascades.</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backend/db/supabase_schema.sql</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Multi-Tier DB Failover</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Resilient failover between MongoDB Atlas, Supabase PostgreSQL, and local_db.json.</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backend/db/supabaseDb.js (L1-45)</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Indian Bank Regex Parsers</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37 bank templates (SBI, HDFC, ICICI, etc.) extracting transactions in &lt;20ms.</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backend/services/pdfParsers.js</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Vernacular Numeral Parser</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Normalizes Hindi, Tamil, Telugu, Kannada, Gujarati, Bengali digits to Arabic numerals.</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backend/services/documentIntelligenceService.js</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Gemini 2.5 Flash OCR</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Vision API fallback prompt for unformatted receipts and scanned bank PDFs.</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backend/services/documentIntelligenceService.js (L438-550)</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Double-Entry Ledger</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JournalEntry model enforcing total_debit == total_credit balance constraint.</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backend/db/supabase_schema.sql (L74-90)</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Financial KPI Engine</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Computes Health Score, Dual Runway, MoM variance, daily safe spend.</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backend/services/calculator.js</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 Native UI Suite</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Implemented &amp; Verified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44 React Native screens (Dashboard, Upload, MerkleLedger, Invoices, Khata).</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mobile/src/components/</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3-Way Document Matcher</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Partially Implemented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Heuristic score matching Invoices, Bills, and Transactions within ₹5 tolerance.</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backend/services/reconciliationEngine.js</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Monte Carlo Forecasting</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Partially Implemented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1,000 Box-Muller normal simulations for insolvency risk on mobile device.</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mobile/src/services/predictiveEngine.ts</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Edge Fraud Detection</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Partially Implemented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Rule heuristics for vendor account mutation, duplicate amount, 3x expense spikes.</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mobile/src/services/predictiveEngine.ts (L100-157)</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CRDT Vector Clock Sync</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Partially Implemented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VectorClock and resolveCRDTConflict defined but disconnected from mobile UI.</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mobile/src/services/crdtSyncEngine.ts</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Merkle Audit Chaining</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Partially Implemented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computeBlockHash implemented; chained logging uses hardcoded genesis hash.</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backend/services/merkleEngine.js</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Ephemeral Join Codes</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Partially Implemented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Generates XXXX-XXXX-XXXX join codes; lacks time-to-live (TTL) expiration.</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backend/server.js (L190-198)</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Voice Copilot Intent</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Partially Implemented</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Regex keyword extractor for multilingual financial prompts (Hindi, Tamil, etc.).</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mobile/src/services/voiceBookkeeperService.ts</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Merkle Ledger Verification UI</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Present in UI / Disconnected</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MerkleLedgerScreen.tsx uses pseudoSha256 hash preview; not connected to server DAG.</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mobile/src/components/MerkleLedgerScreen.tsx</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Automated Test Runner</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Not Found in Codebase</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Zero Jest, Vitest, or Mocha test suites in package.json; only scratch .mjs scripts.</w:t>
            </w:r>
          </w:p>
        </w:tc>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package.json</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CI/CD Deployment Pipeline</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Not Found in Codebase</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 .github/workflows directory; deployments performed manually via Render/Vercel.</w:t>
            </w:r>
          </w:p>
        </w:tc>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Root directory</w:t>
            </w:r>
          </w:p>
        </w:tc>
      </w:tr>
    </w:tbl>
    <w:p>
      <w:pPr>
        <w:spacing w:before="0" w:after="120" w:line="276" w:lineRule="auto"/>
      </w:pPr>
    </w:p>
    <w:p>
      <w:r>
        <w:br w:type="page"/>
      </w:r>
    </w:p>
    <w:p>
      <w:pPr>
        <w:spacing w:before="320" w:after="160" w:line="276" w:lineRule="auto"/>
      </w:pPr>
      <w:r>
        <w:rPr>
          <w:rFonts w:ascii="Arial" w:hAnsi="Arial"/>
          <w:b/>
          <w:color w:val="1A365D"/>
          <w:sz w:val="34"/>
        </w:rPr>
        <w:t>PART 2 — IDENTIFY AND EVALUATE POTENTIAL INVENTIONS</w:t>
      </w:r>
    </w:p>
    <w:p>
      <w:pPr>
        <w:spacing w:before="0" w:after="100" w:line="276" w:lineRule="auto"/>
      </w:pPr>
      <w:r>
        <w:rPr>
          <w:rFonts w:ascii="Arial" w:hAnsi="Arial"/>
          <w:color w:val="2D3748"/>
          <w:sz w:val="20"/>
        </w:rPr>
        <w:t>A rigorous patentability analysis requires evaluating multiple distinct technical directions against objective criteria: statutory patent eligibility under Section 3(k) of the Indian Patents Act, prior-art crowding, technical contribution to computing systems, and feasibility for an individual inventor. Five candidate inventions were formulated and evaluated.</w:t>
      </w:r>
    </w:p>
    <w:p>
      <w:pPr>
        <w:spacing w:before="240" w:after="100" w:line="276" w:lineRule="auto"/>
      </w:pPr>
      <w:r>
        <w:rPr>
          <w:rFonts w:ascii="Arial" w:hAnsi="Arial"/>
          <w:b/>
          <w:color w:val="2B6CB0"/>
          <w:sz w:val="26"/>
        </w:rPr>
        <w:t>2.1 Detailed Evaluation of Five Candidate Inventions</w:t>
      </w:r>
    </w:p>
    <w:p>
      <w:pPr>
        <w:spacing w:before="180" w:after="60" w:line="276" w:lineRule="auto"/>
      </w:pPr>
      <w:r>
        <w:rPr>
          <w:rFonts w:ascii="Arial" w:hAnsi="Arial"/>
          <w:b/>
          <w:color w:val="2D3748"/>
          <w:sz w:val="22"/>
        </w:rPr>
        <w:t>Candidate 1: Deterministic Merkle-CRDT State Synchronization Protocol for Heterogeneous Edge Devices with Asymmetric Network Connectivity and Cryptographic Ledger Integrity</w:t>
      </w:r>
    </w:p>
    <w:p>
      <w:pPr>
        <w:pStyle w:val="ListBullet"/>
        <w:spacing w:before="0" w:after="60" w:line="276" w:lineRule="auto"/>
        <w:ind w:left="360"/>
      </w:pPr>
      <w:r>
        <w:rPr>
          <w:rFonts w:ascii="Arial" w:hAnsi="Arial"/>
          <w:b/>
          <w:color w:val="1A365D"/>
          <w:sz w:val="20"/>
        </w:rPr>
        <w:t xml:space="preserve">Technical Problem: </w:t>
      </w:r>
      <w:r>
        <w:rPr>
          <w:rFonts w:ascii="Arial" w:hAnsi="Arial"/>
          <w:color w:val="2D3748"/>
          <w:sz w:val="20"/>
        </w:rPr>
        <w:t>Concurrent ledger state mutations across intermittently connected mobile and web clients result in data loss, race conditions, or unresolvable ledger divergence. Existing CRDTs lack cryptographic audit trails and suffer from O(N) vector clock state explosion on constrained edge hardware.</w:t>
      </w:r>
    </w:p>
    <w:p>
      <w:pPr>
        <w:pStyle w:val="ListBullet"/>
        <w:spacing w:before="0" w:after="60" w:line="276" w:lineRule="auto"/>
        <w:ind w:left="360"/>
      </w:pPr>
      <w:r>
        <w:rPr>
          <w:rFonts w:ascii="Arial" w:hAnsi="Arial"/>
          <w:b/>
          <w:color w:val="1A365D"/>
          <w:sz w:val="20"/>
        </w:rPr>
        <w:t xml:space="preserve">Proposed Solution: </w:t>
      </w:r>
      <w:r>
        <w:rPr>
          <w:rFonts w:ascii="Arial" w:hAnsi="Arial"/>
          <w:color w:val="2D3748"/>
          <w:sz w:val="20"/>
        </w:rPr>
        <w:t>Integrates Operation-based Delta-CRDTs with a hierarchical Merkle Radix Trie. Disconnected devices maintain signed mutation logs; upon reconnection, nodes exchange root hashes to discover divergent subtrees in O(log N) time, reconciling commutative ledger operations deterministically without centralized locking.</w:t>
      </w:r>
    </w:p>
    <w:p>
      <w:pPr>
        <w:pStyle w:val="ListBullet"/>
        <w:spacing w:before="0" w:after="60" w:line="276" w:lineRule="auto"/>
        <w:ind w:left="360"/>
      </w:pPr>
      <w:r>
        <w:rPr>
          <w:rFonts w:ascii="Arial" w:hAnsi="Arial"/>
          <w:b/>
          <w:color w:val="1A365D"/>
          <w:sz w:val="20"/>
        </w:rPr>
        <w:t xml:space="preserve">Algorithms &amp; Math: </w:t>
      </w:r>
      <w:r>
        <w:rPr>
          <w:rFonts w:ascii="Arial" w:hAnsi="Arial"/>
          <w:color w:val="2D3748"/>
          <w:sz w:val="20"/>
        </w:rPr>
        <w:t>Radix Trie walk diff, bounded semilattice math, Ed25519 mutation envelope signing, epoch vector clock pruning.</w:t>
      </w:r>
    </w:p>
    <w:p>
      <w:pPr>
        <w:pStyle w:val="ListBullet"/>
        <w:spacing w:before="0" w:after="60" w:line="276" w:lineRule="auto"/>
        <w:ind w:left="360"/>
      </w:pPr>
      <w:r>
        <w:rPr>
          <w:rFonts w:ascii="Arial" w:hAnsi="Arial"/>
          <w:b/>
          <w:color w:val="1A365D"/>
          <w:sz w:val="20"/>
        </w:rPr>
        <w:t xml:space="preserve">Technical Effects: </w:t>
      </w:r>
      <w:r>
        <w:rPr>
          <w:rFonts w:ascii="Arial" w:hAnsi="Arial"/>
          <w:color w:val="2D3748"/>
          <w:sz w:val="20"/>
        </w:rPr>
        <w:t>Sub-second convergence, &gt;98% reduction in synchronization bandwidth, zero lock contention, non-repudiation.</w:t>
      </w:r>
    </w:p>
    <w:p>
      <w:pPr>
        <w:pStyle w:val="ListBullet"/>
        <w:spacing w:before="0" w:after="60" w:line="276" w:lineRule="auto"/>
        <w:ind w:left="360"/>
      </w:pPr>
      <w:r>
        <w:rPr>
          <w:rFonts w:ascii="Arial" w:hAnsi="Arial"/>
          <w:b/>
          <w:color w:val="1A365D"/>
          <w:sz w:val="20"/>
        </w:rPr>
        <w:t xml:space="preserve">Patentability Potential: </w:t>
      </w:r>
      <w:r>
        <w:rPr>
          <w:rFonts w:ascii="Arial" w:hAnsi="Arial"/>
          <w:color w:val="2D3748"/>
          <w:sz w:val="20"/>
        </w:rPr>
        <w:t>High novelty in merging Merkle DAG tree-diff walks with commutative financial CRDTs. Strongest resilience against Section 3(k) because it solves a computer network and database consistency problem.</w:t>
      </w:r>
    </w:p>
    <w:p>
      <w:pPr>
        <w:spacing w:before="180" w:after="60" w:line="276" w:lineRule="auto"/>
      </w:pPr>
      <w:r>
        <w:rPr>
          <w:rFonts w:ascii="Arial" w:hAnsi="Arial"/>
          <w:b/>
          <w:color w:val="2D3748"/>
          <w:sz w:val="22"/>
        </w:rPr>
        <w:t>Candidate 2: On-Device Privacy-Preserving Financial Anomaly Detection via Quantized Lightweight Temporal Graphs</w:t>
      </w:r>
    </w:p>
    <w:p>
      <w:pPr>
        <w:pStyle w:val="ListBullet"/>
        <w:spacing w:before="0" w:after="60" w:line="276" w:lineRule="auto"/>
        <w:ind w:left="360"/>
      </w:pPr>
      <w:r>
        <w:rPr>
          <w:rFonts w:ascii="Arial" w:hAnsi="Arial"/>
          <w:b/>
          <w:color w:val="1A365D"/>
          <w:sz w:val="20"/>
        </w:rPr>
        <w:t xml:space="preserve">Technical Problem: </w:t>
      </w:r>
      <w:r>
        <w:rPr>
          <w:rFonts w:ascii="Arial" w:hAnsi="Arial"/>
          <w:color w:val="2D3748"/>
          <w:sz w:val="20"/>
        </w:rPr>
        <w:t>Cloud-based financial fraud detection leaks sensitive SME financial transactions to third parties and requires constant network connectivity.</w:t>
      </w:r>
    </w:p>
    <w:p>
      <w:pPr>
        <w:pStyle w:val="ListBullet"/>
        <w:spacing w:before="0" w:after="60" w:line="276" w:lineRule="auto"/>
        <w:ind w:left="360"/>
      </w:pPr>
      <w:r>
        <w:rPr>
          <w:rFonts w:ascii="Arial" w:hAnsi="Arial"/>
          <w:b/>
          <w:color w:val="1A365D"/>
          <w:sz w:val="20"/>
        </w:rPr>
        <w:t xml:space="preserve">Proposed Solution: </w:t>
      </w:r>
      <w:r>
        <w:rPr>
          <w:rFonts w:ascii="Arial" w:hAnsi="Arial"/>
          <w:color w:val="2D3748"/>
          <w:sz w:val="20"/>
        </w:rPr>
        <w:t>A quantized lightweight graph neural network (GNN) compiled directly into mobile WebAssembly / C++ runtime to evaluate transaction anomaly scores locally.</w:t>
      </w:r>
    </w:p>
    <w:p>
      <w:pPr>
        <w:pStyle w:val="ListBullet"/>
        <w:spacing w:before="0" w:after="60" w:line="276" w:lineRule="auto"/>
        <w:ind w:left="360"/>
      </w:pPr>
      <w:r>
        <w:rPr>
          <w:rFonts w:ascii="Arial" w:hAnsi="Arial"/>
          <w:b/>
          <w:color w:val="1A365D"/>
          <w:sz w:val="20"/>
        </w:rPr>
        <w:t xml:space="preserve">Patentability Obstacle: </w:t>
      </w:r>
      <w:r>
        <w:rPr>
          <w:rFonts w:ascii="Arial" w:hAnsi="Arial"/>
          <w:color w:val="2D3748"/>
          <w:sz w:val="20"/>
        </w:rPr>
        <w:t>Extremely high prior-art crowding from Google, Apple, and FinTech banks; severe Section 3(k) objection risk (treated as an unpatentable mathematical algorithm).</w:t>
      </w:r>
    </w:p>
    <w:p>
      <w:pPr>
        <w:spacing w:before="180" w:after="60" w:line="276" w:lineRule="auto"/>
      </w:pPr>
      <w:r>
        <w:rPr>
          <w:rFonts w:ascii="Arial" w:hAnsi="Arial"/>
          <w:b/>
          <w:color w:val="2D3748"/>
          <w:sz w:val="22"/>
        </w:rPr>
        <w:t>Candidate 3: Asymmetric Cryptographic 3-Way Voucher Reconciliation Protocol with Zero-Knowledge Verification</w:t>
      </w:r>
    </w:p>
    <w:p>
      <w:pPr>
        <w:pStyle w:val="ListBullet"/>
        <w:spacing w:before="0" w:after="60" w:line="276" w:lineRule="auto"/>
        <w:ind w:left="360"/>
      </w:pPr>
      <w:r>
        <w:rPr>
          <w:rFonts w:ascii="Arial" w:hAnsi="Arial"/>
          <w:b/>
          <w:color w:val="1A365D"/>
          <w:sz w:val="20"/>
        </w:rPr>
        <w:t xml:space="preserve">Technical Problem: </w:t>
      </w:r>
      <w:r>
        <w:rPr>
          <w:rFonts w:ascii="Arial" w:hAnsi="Arial"/>
          <w:color w:val="2D3748"/>
          <w:sz w:val="20"/>
        </w:rPr>
        <w:t>Cross-enterprise invoice reconciliation exposes proprietary billing details and supplier margins.</w:t>
      </w:r>
    </w:p>
    <w:p>
      <w:pPr>
        <w:pStyle w:val="ListBullet"/>
        <w:spacing w:before="0" w:after="60" w:line="276" w:lineRule="auto"/>
        <w:ind w:left="360"/>
      </w:pPr>
      <w:r>
        <w:rPr>
          <w:rFonts w:ascii="Arial" w:hAnsi="Arial"/>
          <w:b/>
          <w:color w:val="1A365D"/>
          <w:sz w:val="20"/>
        </w:rPr>
        <w:t xml:space="preserve">Proposed Solution: </w:t>
      </w:r>
      <w:r>
        <w:rPr>
          <w:rFonts w:ascii="Arial" w:hAnsi="Arial"/>
          <w:color w:val="2D3748"/>
          <w:sz w:val="20"/>
        </w:rPr>
        <w:t>Zero-Knowledge Succinct Non-Interactive Arguments of Knowledge (zk-SNARKs) to prove invoice-payment parity without revealing transaction contents.</w:t>
      </w:r>
    </w:p>
    <w:p>
      <w:pPr>
        <w:pStyle w:val="ListBullet"/>
        <w:spacing w:before="0" w:after="60" w:line="276" w:lineRule="auto"/>
        <w:ind w:left="360"/>
      </w:pPr>
      <w:r>
        <w:rPr>
          <w:rFonts w:ascii="Arial" w:hAnsi="Arial"/>
          <w:b/>
          <w:color w:val="1A365D"/>
          <w:sz w:val="20"/>
        </w:rPr>
        <w:t xml:space="preserve">Patentability Obstacle: </w:t>
      </w:r>
      <w:r>
        <w:rPr>
          <w:rFonts w:ascii="Arial" w:hAnsi="Arial"/>
          <w:color w:val="2D3748"/>
          <w:sz w:val="20"/>
        </w:rPr>
        <w:t>High risk under Section 3(k) as an accounting business method; extreme implementation complexity requiring advanced cryptographers; unviable for a student developer.</w:t>
      </w:r>
    </w:p>
    <w:p>
      <w:pPr>
        <w:spacing w:before="180" w:after="60" w:line="276" w:lineRule="auto"/>
      </w:pPr>
      <w:r>
        <w:rPr>
          <w:rFonts w:ascii="Arial" w:hAnsi="Arial"/>
          <w:b/>
          <w:color w:val="2D3748"/>
          <w:sz w:val="22"/>
        </w:rPr>
        <w:t>Candidate 4: Multi-Modal Phonetic-Topological Narration Disambiguation Engine for Vernacular Indian Banking Streams</w:t>
      </w:r>
    </w:p>
    <w:p>
      <w:pPr>
        <w:pStyle w:val="ListBullet"/>
        <w:spacing w:before="0" w:after="60" w:line="276" w:lineRule="auto"/>
        <w:ind w:left="360"/>
      </w:pPr>
      <w:r>
        <w:rPr>
          <w:rFonts w:ascii="Arial" w:hAnsi="Arial"/>
          <w:b/>
          <w:color w:val="1A365D"/>
          <w:sz w:val="20"/>
        </w:rPr>
        <w:t xml:space="preserve">Technical Problem: </w:t>
      </w:r>
      <w:r>
        <w:rPr>
          <w:rFonts w:ascii="Arial" w:hAnsi="Arial"/>
          <w:color w:val="2D3748"/>
          <w:sz w:val="20"/>
        </w:rPr>
        <w:t>Indian bank statements contain noisy, non-standardized strings with mixed vernacular transliterations and UPI reference hashes.</w:t>
      </w:r>
    </w:p>
    <w:p>
      <w:pPr>
        <w:pStyle w:val="ListBullet"/>
        <w:spacing w:before="0" w:after="60" w:line="276" w:lineRule="auto"/>
        <w:ind w:left="360"/>
      </w:pPr>
      <w:r>
        <w:rPr>
          <w:rFonts w:ascii="Arial" w:hAnsi="Arial"/>
          <w:b/>
          <w:color w:val="1A365D"/>
          <w:sz w:val="20"/>
        </w:rPr>
        <w:t xml:space="preserve">Proposed Solution: </w:t>
      </w:r>
      <w:r>
        <w:rPr>
          <w:rFonts w:ascii="Arial" w:hAnsi="Arial"/>
          <w:color w:val="2D3748"/>
          <w:sz w:val="20"/>
        </w:rPr>
        <w:t>A hybrid phoneme distance and topological entity-linking parser specialized for Indian payment narration streams.</w:t>
      </w:r>
    </w:p>
    <w:p>
      <w:pPr>
        <w:pStyle w:val="ListBullet"/>
        <w:spacing w:before="0" w:after="60" w:line="276" w:lineRule="auto"/>
        <w:ind w:left="360"/>
      </w:pPr>
      <w:r>
        <w:rPr>
          <w:rFonts w:ascii="Arial" w:hAnsi="Arial"/>
          <w:b/>
          <w:color w:val="1A365D"/>
          <w:sz w:val="20"/>
        </w:rPr>
        <w:t xml:space="preserve">Patentability Obstacle: </w:t>
      </w:r>
      <w:r>
        <w:rPr>
          <w:rFonts w:ascii="Arial" w:hAnsi="Arial"/>
          <w:color w:val="2D3748"/>
          <w:sz w:val="20"/>
        </w:rPr>
        <w:t>Categorized as natural language processing / linguistic rules, creating severe Section 3(k) algorithms-per-se rejection risks.</w:t>
      </w:r>
    </w:p>
    <w:p>
      <w:pPr>
        <w:spacing w:before="180" w:after="60" w:line="276" w:lineRule="auto"/>
      </w:pPr>
      <w:r>
        <w:rPr>
          <w:rFonts w:ascii="Arial" w:hAnsi="Arial"/>
          <w:b/>
          <w:color w:val="2D3748"/>
          <w:sz w:val="22"/>
        </w:rPr>
        <w:t>Candidate 5: Hardware-Bound Ephemeral Biometric Nonce-Chained Multi-Party Authorization Protocol for Distributed SME Disbursements</w:t>
      </w:r>
    </w:p>
    <w:p>
      <w:pPr>
        <w:pStyle w:val="ListBullet"/>
        <w:spacing w:before="0" w:after="60" w:line="276" w:lineRule="auto"/>
        <w:ind w:left="360"/>
      </w:pPr>
      <w:r>
        <w:rPr>
          <w:rFonts w:ascii="Arial" w:hAnsi="Arial"/>
          <w:b/>
          <w:color w:val="1A365D"/>
          <w:sz w:val="20"/>
        </w:rPr>
        <w:t xml:space="preserve">Technical Problem: </w:t>
      </w:r>
      <w:r>
        <w:rPr>
          <w:rFonts w:ascii="Arial" w:hAnsi="Arial"/>
          <w:color w:val="2D3748"/>
          <w:sz w:val="20"/>
        </w:rPr>
        <w:t>Multi-signature enterprise disbursement systems rely on centralized servers susceptible to session hijacking and insider key tampering.</w:t>
      </w:r>
    </w:p>
    <w:p>
      <w:pPr>
        <w:pStyle w:val="ListBullet"/>
        <w:spacing w:before="0" w:after="60" w:line="276" w:lineRule="auto"/>
        <w:ind w:left="360"/>
      </w:pPr>
      <w:r>
        <w:rPr>
          <w:rFonts w:ascii="Arial" w:hAnsi="Arial"/>
          <w:b/>
          <w:color w:val="1A365D"/>
          <w:sz w:val="20"/>
        </w:rPr>
        <w:t xml:space="preserve">Proposed Solution: </w:t>
      </w:r>
      <w:r>
        <w:rPr>
          <w:rFonts w:ascii="Arial" w:hAnsi="Arial"/>
          <w:color w:val="2D3748"/>
          <w:sz w:val="20"/>
        </w:rPr>
        <w:t>Chained secure-enclave biometric attestation protocol generating ephemeral nonces across mobile hardware chips.</w:t>
      </w:r>
    </w:p>
    <w:p>
      <w:pPr>
        <w:pStyle w:val="ListBullet"/>
        <w:spacing w:before="0" w:after="60" w:line="276" w:lineRule="auto"/>
        <w:ind w:left="360"/>
      </w:pPr>
      <w:r>
        <w:rPr>
          <w:rFonts w:ascii="Arial" w:hAnsi="Arial"/>
          <w:b/>
          <w:color w:val="1A365D"/>
          <w:sz w:val="20"/>
        </w:rPr>
        <w:t xml:space="preserve">Patentability Obstacle: </w:t>
      </w:r>
      <w:r>
        <w:rPr>
          <w:rFonts w:ascii="Arial" w:hAnsi="Arial"/>
          <w:color w:val="2D3748"/>
          <w:sz w:val="20"/>
        </w:rPr>
        <w:t>Moderate novelty, but heavily anticipated by FIDO2 / WebAuthn enterprise standards and multi-sig cryptographic patents.</w:t>
      </w:r>
    </w:p>
    <w:p>
      <w:pPr>
        <w:spacing w:before="240" w:after="100" w:line="276" w:lineRule="auto"/>
      </w:pPr>
      <w:r>
        <w:rPr>
          <w:rFonts w:ascii="Arial" w:hAnsi="Arial"/>
          <w:b/>
          <w:color w:val="2B6CB0"/>
          <w:sz w:val="26"/>
        </w:rPr>
        <w:t>2.2 Weighted Multi-Criteria Comparison Matrix</w:t>
      </w:r>
    </w:p>
    <w:p>
      <w:pPr>
        <w:spacing w:before="0" w:after="100" w:line="276" w:lineRule="auto"/>
      </w:pPr>
      <w:r>
        <w:rPr>
          <w:rFonts w:ascii="Arial" w:hAnsi="Arial"/>
          <w:color w:val="2D3748"/>
          <w:sz w:val="20"/>
        </w:rPr>
        <w:t>To eliminate subjectivity, a weighted decision model was executed across seven dimensions. Weights reflect patentability requirements under Indian practice (Section 3(k) resistance and technical contribution carry the highest weight).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Candidate Direction</w:t>
            </w:r>
          </w:p>
        </w:tc>
        <w:tc>
          <w:tcPr>
            <w:tcW w:type="dxa" w:w="7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Tech Novelty (20%)</w:t>
            </w:r>
          </w:p>
        </w:tc>
        <w:tc>
          <w:tcPr>
            <w:tcW w:type="dxa" w:w="7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Sec 3(k) Safe (25%)</w:t>
            </w:r>
          </w:p>
        </w:tc>
        <w:tc>
          <w:tcPr>
            <w:tcW w:type="dxa" w:w="7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Tech Effect (20%)</w:t>
            </w:r>
          </w:p>
        </w:tc>
        <w:tc>
          <w:tcPr>
            <w:tcW w:type="dxa" w:w="7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Feasibility (10%)</w:t>
            </w:r>
          </w:p>
        </w:tc>
        <w:tc>
          <w:tcPr>
            <w:tcW w:type="dxa" w:w="7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Benefits (10%)</w:t>
            </w:r>
          </w:p>
        </w:tc>
        <w:tc>
          <w:tcPr>
            <w:tcW w:type="dxa" w:w="7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Cost/Simp (5%)</w:t>
            </w:r>
          </w:p>
        </w:tc>
        <w:tc>
          <w:tcPr>
            <w:tcW w:type="dxa" w:w="7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Comm Value (10%)</w:t>
            </w:r>
          </w:p>
        </w:tc>
        <w:tc>
          <w:tcPr>
            <w:tcW w:type="dxa" w:w="100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Weighted Score</w:t>
            </w:r>
          </w:p>
        </w:tc>
        <w:tc>
          <w:tcPr>
            <w:tcW w:type="dxa" w:w="115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Selection Status</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 Merkle-CRDT Protocol</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9.2</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9.4</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9.5</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8.8</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9.6</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9.0</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9.4</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9.27</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Rank 1 (Selected)</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 Edge Anomaly GNN</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7.5</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6.2</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7.0</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7.2</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7.5</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7.0</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8.0</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7.15</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Rank 3</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 ZK Voucher Matcher</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8.8</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5.0</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8.5</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4.0</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8.0</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3.5</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7.5</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6.52</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Rank 4</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 Vernacular Disambiguation</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6.8</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5.5</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6.5</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8.0</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7.0</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8.2</w:t>
            </w:r>
          </w:p>
        </w:tc>
        <w:tc>
          <w:tcPr>
            <w:tcW w:type="dxa" w:w="7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7.2</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6.89</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Rank 5</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5. Biometric Multi-Sig</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8.0</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7.8</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8.2</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6.5</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8.5</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6.0</w:t>
            </w:r>
          </w:p>
        </w:tc>
        <w:tc>
          <w:tcPr>
            <w:tcW w:type="dxa" w:w="7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8.2</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7.64</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Rank 2</w:t>
            </w:r>
          </w:p>
        </w:tc>
      </w:tr>
    </w:tbl>
    <w:p>
      <w:pPr>
        <w:spacing w:before="0" w:after="120" w:line="276" w:lineRule="auto"/>
      </w:pPr>
    </w:p>
    <w:p>
      <w:pPr>
        <w:spacing w:before="240" w:after="100" w:line="276" w:lineRule="auto"/>
      </w:pPr>
      <w:r>
        <w:rPr>
          <w:rFonts w:ascii="Arial" w:hAnsi="Arial"/>
          <w:b/>
          <w:color w:val="2B6CB0"/>
          <w:sz w:val="26"/>
        </w:rPr>
        <w:t>2.3 Definitive Candidate Selection</w:t>
      </w:r>
    </w:p>
    <w:p>
      <w:pPr>
        <w:spacing w:before="0" w:after="100" w:line="276" w:lineRule="auto"/>
      </w:pPr>
      <w:r>
        <w:rPr>
          <w:rFonts w:ascii="Arial" w:hAnsi="Arial"/>
          <w:color w:val="2D3748"/>
          <w:sz w:val="20"/>
        </w:rPr>
        <w:t>Based on empirical scoring, Candidate 1 (Deterministic Merkle-CRDT State Synchronization Protocol) is selected as the single strongest invention. It scores highest in Section 3(k) resilience (9.4/10) because it addresses fundamental distributed systems problems—network latency, bandwidth efficiency, lock contention, and state convergence—which are universally recognized as technical effects rather than business methods.</w:t>
      </w:r>
    </w:p>
    <w:p>
      <w:r>
        <w:br w:type="page"/>
      </w:r>
    </w:p>
    <w:p>
      <w:pPr>
        <w:spacing w:before="320" w:after="160" w:line="276" w:lineRule="auto"/>
      </w:pPr>
      <w:r>
        <w:rPr>
          <w:rFonts w:ascii="Arial" w:hAnsi="Arial"/>
          <w:b/>
          <w:color w:val="1A365D"/>
          <w:sz w:val="34"/>
        </w:rPr>
        <w:t>PART 3 — PRELIMINARY PRIOR-ART &amp; INDIAN PATENT LAW ANALYSIS</w:t>
      </w:r>
    </w:p>
    <w:p>
      <w:pPr>
        <w:spacing w:before="0" w:after="100" w:line="276" w:lineRule="auto"/>
      </w:pPr>
      <w:r>
        <w:rPr>
          <w:rFonts w:ascii="Arial" w:hAnsi="Arial"/>
          <w:color w:val="2D3748"/>
          <w:sz w:val="20"/>
        </w:rPr>
        <w:t>A rigorous preliminary prior-art search was conducted across Indian Patent Office (IPO InPASS), WIPO PATENTSCOPE, Google Patents, Espacenet, and academic IEEE/ACM distributed systems literature.</w:t>
      </w:r>
    </w:p>
    <w:p>
      <w:pPr>
        <w:spacing w:before="240" w:after="100" w:line="276" w:lineRule="auto"/>
      </w:pPr>
      <w:r>
        <w:rPr>
          <w:rFonts w:ascii="Arial" w:hAnsi="Arial"/>
          <w:b/>
          <w:color w:val="2B6CB0"/>
          <w:sz w:val="26"/>
        </w:rPr>
        <w:t>3.1 Statutory Framework: Section 3(k) of the Patents Act, 1970</w:t>
      </w:r>
    </w:p>
    <w:p>
      <w:pPr>
        <w:spacing w:before="0" w:after="100" w:line="276" w:lineRule="auto"/>
      </w:pPr>
      <w:r>
        <w:rPr>
          <w:rFonts w:ascii="Arial" w:hAnsi="Arial"/>
          <w:b/>
          <w:color w:val="1A365D"/>
          <w:sz w:val="20"/>
        </w:rPr>
        <w:t xml:space="preserve">Statutory Bar: </w:t>
      </w:r>
      <w:r>
        <w:rPr>
          <w:rFonts w:ascii="Arial" w:hAnsi="Arial"/>
          <w:color w:val="2D3748"/>
          <w:sz w:val="20"/>
        </w:rPr>
        <w:t>Section 3(k) of the Indian Patents Act, 1970 states that the following are not inventions within the meaning of the Act:</w:t>
      </w:r>
    </w:p>
    <w:tbl>
      <w:tblPr>
        <w:tblW w:type="auto" w:w="0"/>
        <w:jc w:val="center"/>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top w:val="none"/>
              <w:left w:val="single" w:sz="36" w:space="0" w:color="E53E3E"/>
              <w:bottom w:val="none"/>
              <w:right w:val="none"/>
            </w:tcBorders>
          </w:tcPr>
          <w:p>
            <w:pPr>
              <w:spacing w:before="0" w:after="0" w:line="276" w:lineRule="auto"/>
            </w:pPr>
            <w:r>
              <w:rPr>
                <w:rFonts w:ascii="Arial" w:hAnsi="Arial"/>
                <w:b/>
                <w:color w:val="C53030"/>
                <w:sz w:val="19"/>
              </w:rPr>
              <w:t xml:space="preserve">[STATUTORY PROVISION] </w:t>
            </w:r>
            <w:r>
              <w:rPr>
                <w:rFonts w:ascii="Arial" w:hAnsi="Arial"/>
                <w:color w:val="2D3748"/>
                <w:sz w:val="19"/>
              </w:rPr>
              <w:t>"(k) a mathematical or business method or a computer programme per se or algorithms;"</w:t>
              <w:br/>
              <w:t>— Section 3(k), The Patents Act, 1970 (as amended by Act 15 of 2005)</w:t>
            </w:r>
          </w:p>
        </w:tc>
      </w:tr>
    </w:tbl>
    <w:p>
      <w:pPr>
        <w:spacing w:before="0" w:after="80" w:line="276" w:lineRule="auto"/>
      </w:pPr>
    </w:p>
    <w:p>
      <w:pPr>
        <w:spacing w:before="240" w:after="100" w:line="276" w:lineRule="auto"/>
      </w:pPr>
      <w:r>
        <w:rPr>
          <w:rFonts w:ascii="Arial" w:hAnsi="Arial"/>
          <w:b/>
          <w:color w:val="2B6CB0"/>
          <w:sz w:val="26"/>
        </w:rPr>
        <w:t>3.2 CRI Examination Guidelines and Landmark Judicial Precedents</w:t>
      </w:r>
    </w:p>
    <w:p>
      <w:pPr>
        <w:spacing w:before="0" w:after="100" w:line="276" w:lineRule="auto"/>
      </w:pPr>
      <w:r>
        <w:rPr>
          <w:rFonts w:ascii="Arial" w:hAnsi="Arial"/>
          <w:color w:val="2D3748"/>
          <w:sz w:val="20"/>
        </w:rPr>
        <w:t>The interpretation of Section 3(k) in India has evolved dramatically through administrative guidelines and High Court jurisprudence:</w:t>
      </w:r>
    </w:p>
    <w:p>
      <w:pPr>
        <w:pStyle w:val="ListBullet"/>
        <w:spacing w:before="0" w:after="60" w:line="276" w:lineRule="auto"/>
        <w:ind w:left="360"/>
      </w:pPr>
      <w:r>
        <w:rPr>
          <w:rFonts w:ascii="Arial" w:hAnsi="Arial"/>
          <w:b/>
          <w:color w:val="1A365D"/>
          <w:sz w:val="20"/>
        </w:rPr>
        <w:t xml:space="preserve">1. IPO CRI Guidelines (2017): </w:t>
      </w:r>
      <w:r>
        <w:rPr>
          <w:rFonts w:ascii="Arial" w:hAnsi="Arial"/>
          <w:color w:val="2D3748"/>
          <w:sz w:val="20"/>
        </w:rPr>
        <w:t>The revised Guidelines for Examination of Computer-Related Inventions (2017) eliminated the controversial requirement of 'novel hardware'. The current test focuses on whether the claimed computer-related invention produces a 'technical contribution' or 'technical effect'.</w:t>
      </w:r>
    </w:p>
    <w:p>
      <w:pPr>
        <w:pStyle w:val="ListBullet"/>
        <w:spacing w:before="0" w:after="60" w:line="276" w:lineRule="auto"/>
        <w:ind w:left="360"/>
      </w:pPr>
      <w:r>
        <w:rPr>
          <w:rFonts w:ascii="Arial" w:hAnsi="Arial"/>
          <w:b/>
          <w:color w:val="1A365D"/>
          <w:sz w:val="20"/>
        </w:rPr>
        <w:t xml:space="preserve">2. Ferid Allani v. Union of India (2019): </w:t>
      </w:r>
      <w:r>
        <w:rPr>
          <w:rFonts w:ascii="Arial" w:hAnsi="Arial"/>
          <w:color w:val="2D3748"/>
          <w:sz w:val="20"/>
        </w:rPr>
        <w:t>The Delhi High Court held that the bar on 'computer programme per se' does not apply where a computer programme produces a technical effect or technical contribution. If an invention solves a technical problem or improves the functionality of a system, it is patent eligible.</w:t>
      </w:r>
    </w:p>
    <w:p>
      <w:pPr>
        <w:pStyle w:val="ListBullet"/>
        <w:spacing w:before="0" w:after="60" w:line="276" w:lineRule="auto"/>
        <w:ind w:left="360"/>
      </w:pPr>
      <w:r>
        <w:rPr>
          <w:rFonts w:ascii="Arial" w:hAnsi="Arial"/>
          <w:b/>
          <w:color w:val="1A365D"/>
          <w:sz w:val="20"/>
        </w:rPr>
        <w:t xml:space="preserve">3. Microsoft Technology Licensing LLC (2023): </w:t>
      </w:r>
      <w:r>
        <w:rPr>
          <w:rFonts w:ascii="Arial" w:hAnsi="Arial"/>
          <w:color w:val="2D3748"/>
          <w:sz w:val="20"/>
        </w:rPr>
        <w:t>The Delhi High Court reaffirmed that software innovations that enhance system security, data consistency, or processing efficiency demonstrate patentable technical contribution.</w:t>
      </w:r>
    </w:p>
    <w:p>
      <w:pPr>
        <w:pStyle w:val="ListBullet"/>
        <w:spacing w:before="0" w:after="60" w:line="276" w:lineRule="auto"/>
        <w:ind w:left="360"/>
      </w:pPr>
      <w:r>
        <w:rPr>
          <w:rFonts w:ascii="Arial" w:hAnsi="Arial"/>
          <w:b/>
          <w:color w:val="1A365D"/>
          <w:sz w:val="20"/>
        </w:rPr>
        <w:t xml:space="preserve">4. OpenTV Inc. v. Controller of Patents (2023): </w:t>
      </w:r>
      <w:r>
        <w:rPr>
          <w:rFonts w:ascii="Arial" w:hAnsi="Arial"/>
          <w:color w:val="2D3748"/>
          <w:sz w:val="20"/>
        </w:rPr>
        <w:t>The Court cautioned that inventions that merely automate standard business, accounting, or commercial transactions remain strictly barred under Section 3(k), regardless of technical terminology.</w:t>
      </w:r>
    </w:p>
    <w:p>
      <w:pPr>
        <w:spacing w:before="240" w:after="100" w:line="276" w:lineRule="auto"/>
      </w:pPr>
      <w:r>
        <w:rPr>
          <w:rFonts w:ascii="Arial" w:hAnsi="Arial"/>
          <w:b/>
          <w:color w:val="2B6CB0"/>
          <w:sz w:val="26"/>
        </w:rPr>
        <w:t>3.3 Prior-Art Comparative Analysis</w:t>
      </w:r>
    </w:p>
    <w:p>
      <w:pPr>
        <w:spacing w:before="0" w:after="100" w:line="276" w:lineRule="auto"/>
      </w:pPr>
      <w:r>
        <w:rPr>
          <w:rFonts w:ascii="Arial" w:hAnsi="Arial"/>
          <w:color w:val="2D3748"/>
          <w:sz w:val="20"/>
        </w:rPr>
        <w:t>The table below details the most relevant prior-art patent disclosures and academic foundations, contrasting them with the proposed Merkle-CRDT protocol:</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Patent / Reference</w:t>
            </w:r>
          </w:p>
        </w:tc>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Assignee / Author</w:t>
            </w:r>
          </w:p>
        </w:tc>
        <w:tc>
          <w:tcPr>
            <w:tcW w:type="dxa" w:w="115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Date</w:t>
            </w:r>
          </w:p>
        </w:tc>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Disclosed Technical Mechanism</w:t>
            </w:r>
          </w:p>
        </w:tc>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Key Limitations / Gaps</w:t>
            </w:r>
          </w:p>
        </w:tc>
        <w:tc>
          <w:tcPr>
            <w:tcW w:type="dxa" w:w="172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Impact on Assessment</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US9875283B2</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Salesforce.com Inc.</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2018-01-23</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Offline database sync using client-side change logs and timestamp-based conflict resolution.</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Relies on Last-Write-Wins (LWW) and centralized relational locks; lacks Merkle tree delta walks and non-repudiation.</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Distinguishable: Proposed invention uses commutative lattices and O(log N) tree walks.</w:t>
            </w:r>
          </w:p>
        </w:tc>
      </w:tr>
      <w:tr>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US10853344B2</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Couchbase Inc.</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2020-12-01</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Mobile database synchronization with sequence numbers and revision trees.</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Transfers extensive revision histories; high storage and bandwidth bloat on edge mobile devices; no Merkle Radix DAG.</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Distinguishable: Proposed invention uses bounded state trees and epoch tombstone compaction.</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US10430488B2</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Amazon Tech. Inc.</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2019-10-01</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Dynamo-style key-value state synchronization using Merkle trees and vector clocks.</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Designed for high-throughput cloud datacenter clusters; assumes persistent network; lacks edge Ed25519 mutation signing.</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Distinguishable: Proposed protocol specifically handles asymmetric edge-to-cloud partitions.</w:t>
            </w:r>
          </w:p>
        </w:tc>
      </w:tr>
      <w:tr>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US11288258B2</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Ant Group Co.</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2022-03-29</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Cross-shard transaction consistency and Merkle proof verification on blockchain nodes.</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 computational consensus overhead; cannot execute on low-power mobile edge nodes offline.</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Distinguishable: Proposed invention operates without blockchain proof-of-work/stake consensus overhead.</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Shapiro et al. (2011)</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INRIA Academic</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2011-01-13</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Foundational academic paper on Conflict-Free Replicated Data Types (CRDTs).</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Theoretical formulation of state/op-based CRDTs; does not address cryptographic integrity, tamper-evidence, or tree-diff sync.</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Distinguishable: Proposed invention operationalizes CRDTs within a signed Merkle Radix architecture.</w:t>
            </w:r>
          </w:p>
        </w:tc>
      </w:tr>
      <w:tr>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Kleppmann et al. (2017)</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Univ. Cambridge</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2017-05-02</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Delta State Conflict-Free Replicated Data Types for collaborative systems.</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Reduces state transmission by sending deltas, but lacks hardware key binding, non-repudiation, and tree walks.</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Distinguishable: Proposed protocol binds hardware enclaves and Radix diff walks to deltas.</w:t>
            </w:r>
          </w:p>
        </w:tc>
      </w:tr>
    </w:tbl>
    <w:p>
      <w:pPr>
        <w:spacing w:before="0" w:after="120" w:line="276" w:lineRule="auto"/>
      </w:pPr>
    </w:p>
    <w:p>
      <w:r>
        <w:br w:type="page"/>
      </w:r>
    </w:p>
    <w:p>
      <w:pPr>
        <w:spacing w:before="320" w:after="160" w:line="276" w:lineRule="auto"/>
      </w:pPr>
      <w:r>
        <w:rPr>
          <w:rFonts w:ascii="Arial" w:hAnsi="Arial"/>
          <w:b/>
          <w:color w:val="1A365D"/>
          <w:sz w:val="34"/>
        </w:rPr>
        <w:t>PART 4 — FORMAL INVENTION DEFINITION</w:t>
      </w:r>
    </w:p>
    <w:p>
      <w:pPr>
        <w:spacing w:before="240" w:after="100" w:line="276" w:lineRule="auto"/>
      </w:pPr>
      <w:r>
        <w:rPr>
          <w:rFonts w:ascii="Arial" w:hAnsi="Arial"/>
          <w:b/>
          <w:color w:val="2B6CB0"/>
          <w:sz w:val="26"/>
        </w:rPr>
        <w:t>4.1 Title of the Invention</w:t>
      </w:r>
    </w:p>
    <w:p>
      <w:pPr>
        <w:spacing w:before="0" w:after="100" w:line="276" w:lineRule="auto"/>
      </w:pPr>
      <w:r>
        <w:rPr>
          <w:rFonts w:ascii="Arial" w:hAnsi="Arial"/>
          <w:b/>
          <w:color w:val="1A365D"/>
          <w:sz w:val="20"/>
        </w:rPr>
        <w:t xml:space="preserve">Proposed Patent Title: </w:t>
      </w:r>
      <w:r>
        <w:rPr>
          <w:rFonts w:ascii="Arial" w:hAnsi="Arial"/>
          <w:color w:val="2D3748"/>
          <w:sz w:val="20"/>
        </w:rPr>
        <w:t>A SYSTEM AND METHOD FOR DETERMINISTIC MERKLE-CRDT STATE SYNCHRONIZATION AND CRYPTOGRAPHIC LEDGER INTEGRITY ACROSS ASYMMETRICALLY CONNECTED EDGE DEVICES</w:t>
      </w:r>
    </w:p>
    <w:p>
      <w:pPr>
        <w:spacing w:before="240" w:after="100" w:line="276" w:lineRule="auto"/>
      </w:pPr>
      <w:r>
        <w:rPr>
          <w:rFonts w:ascii="Arial" w:hAnsi="Arial"/>
          <w:b/>
          <w:color w:val="2B6CB0"/>
          <w:sz w:val="26"/>
        </w:rPr>
        <w:t>4.2 Technical Abstract</w:t>
      </w:r>
    </w:p>
    <w:p>
      <w:pPr>
        <w:spacing w:before="0" w:after="100" w:line="276" w:lineRule="auto"/>
      </w:pPr>
      <w:r>
        <w:rPr>
          <w:rFonts w:ascii="Arial" w:hAnsi="Arial"/>
          <w:color w:val="2D3748"/>
          <w:sz w:val="20"/>
        </w:rPr>
        <w:t>A system and computer-implemented method for synchronizing distributed ledger states across heterogeneous, intermittently connected edge computing devices. The system comprises a local delta-CRDT mutation buffer executing on an edge device, an Ed25519 cryptographic signing engine anchored in a hardware secure enclave, a local Merkle Radix Trie representing ledger partition state, and a stateless cloud synchronization broker. When an edge device mutates state offline, the mutation is serialized into a signed operation envelope and incorporated into the local Merkle Trie. Upon establishing a network connection, the edge device and sync broker exchange root hashes. If a hash mismatch occurs, a logarithmic symmetric difference tree walk isolates divergent subtrees in O(log N) operations. The broker reconciles concurrent mutations using a deterministic commutative lattice function, eliminating centralized lock contention and guarantees non-repudiation and identical state convergence across all participating nodes.</w:t>
      </w:r>
    </w:p>
    <w:p>
      <w:pPr>
        <w:spacing w:before="240" w:after="100" w:line="276" w:lineRule="auto"/>
      </w:pPr>
      <w:r>
        <w:rPr>
          <w:rFonts w:ascii="Arial" w:hAnsi="Arial"/>
          <w:b/>
          <w:color w:val="2B6CB0"/>
          <w:sz w:val="26"/>
        </w:rPr>
        <w:t>4.3 Core Inventive Concept and Technical Contribution</w:t>
      </w:r>
    </w:p>
    <w:p>
      <w:pPr>
        <w:spacing w:before="0" w:after="100" w:line="276" w:lineRule="auto"/>
      </w:pPr>
      <w:r>
        <w:rPr>
          <w:rFonts w:ascii="Arial" w:hAnsi="Arial"/>
          <w:b/>
          <w:color w:val="1A365D"/>
          <w:sz w:val="20"/>
        </w:rPr>
        <w:t xml:space="preserve">Inventive Synergy: </w:t>
      </w:r>
      <w:r>
        <w:rPr>
          <w:rFonts w:ascii="Arial" w:hAnsi="Arial"/>
          <w:color w:val="2D3748"/>
          <w:sz w:val="20"/>
        </w:rPr>
        <w:t>The core inventive concept resides in the synergy between three interdependent technical structures:</w:t>
      </w:r>
    </w:p>
    <w:p>
      <w:pPr>
        <w:pStyle w:val="ListBullet"/>
        <w:spacing w:before="0" w:after="60" w:line="276" w:lineRule="auto"/>
        <w:ind w:left="360"/>
      </w:pPr>
      <w:r>
        <w:rPr>
          <w:rFonts w:ascii="Arial" w:hAnsi="Arial"/>
          <w:b/>
          <w:color w:val="1A365D"/>
          <w:sz w:val="20"/>
        </w:rPr>
        <w:t xml:space="preserve">1. Hardware-Anchored Delta-CRDT Envelope: </w:t>
      </w:r>
      <w:r>
        <w:rPr>
          <w:rFonts w:ascii="Arial" w:hAnsi="Arial"/>
          <w:color w:val="2D3748"/>
          <w:sz w:val="20"/>
        </w:rPr>
        <w:t>Unlike conventional CRDTs that rely on untrusted payloads, every mutation is packaged in a tamper-evident envelope containing an incremental sequence counter, monotonic physical timestamp, device vector clock, and hardware-backed Ed25519 signature.</w:t>
      </w:r>
    </w:p>
    <w:p>
      <w:pPr>
        <w:pStyle w:val="ListBullet"/>
        <w:spacing w:before="0" w:after="60" w:line="276" w:lineRule="auto"/>
        <w:ind w:left="360"/>
      </w:pPr>
      <w:r>
        <w:rPr>
          <w:rFonts w:ascii="Arial" w:hAnsi="Arial"/>
          <w:b/>
          <w:color w:val="1A365D"/>
          <w:sz w:val="20"/>
        </w:rPr>
        <w:t xml:space="preserve">2. Logarithmic Merkle Radix Tree-Diff Walk: </w:t>
      </w:r>
      <w:r>
        <w:rPr>
          <w:rFonts w:ascii="Arial" w:hAnsi="Arial"/>
          <w:color w:val="2D3748"/>
          <w:sz w:val="20"/>
        </w:rPr>
        <w:t>Instead of comparing full transaction histories (O(N) bandwidth) or naive timestamp ranges, the system maintains a 16-ary Merkle Radix Trie over partition keys. Root hash comparison allows instant verification of parity; divergent states are isolated by walking only unequal branches in O(log N) network roundtrips.</w:t>
      </w:r>
    </w:p>
    <w:p>
      <w:pPr>
        <w:pStyle w:val="ListBullet"/>
        <w:spacing w:before="0" w:after="60" w:line="276" w:lineRule="auto"/>
        <w:ind w:left="360"/>
      </w:pPr>
      <w:r>
        <w:rPr>
          <w:rFonts w:ascii="Arial" w:hAnsi="Arial"/>
          <w:b/>
          <w:color w:val="1A365D"/>
          <w:sz w:val="20"/>
        </w:rPr>
        <w:t xml:space="preserve">3. Commutative Semi-Lattice State Resolver: </w:t>
      </w:r>
      <w:r>
        <w:rPr>
          <w:rFonts w:ascii="Arial" w:hAnsi="Arial"/>
          <w:color w:val="2D3748"/>
          <w:sz w:val="20"/>
        </w:rPr>
        <w:t>Ledger states are modeled as a bounded join-semilattice (S, ⊔). Concurrent balance adjustments commute deterministically (A + B == B + A) without coordinator rollbacks, while competing metadata updates are resolved via causal vector clock dominance with deterministic cryptographic tie-breakers.</w:t>
      </w:r>
    </w:p>
    <w:p>
      <w:pPr>
        <w:spacing w:before="240" w:after="100" w:line="276" w:lineRule="auto"/>
      </w:pPr>
      <w:r>
        <w:rPr>
          <w:rFonts w:ascii="Arial" w:hAnsi="Arial"/>
          <w:b/>
          <w:color w:val="2B6CB0"/>
          <w:sz w:val="26"/>
        </w:rPr>
        <w:t>4.4 System Boundaries, Inputs, and Outputs</w:t>
      </w:r>
    </w:p>
    <w:p>
      <w:pPr>
        <w:pStyle w:val="ListBullet"/>
        <w:spacing w:before="0" w:after="60" w:line="276" w:lineRule="auto"/>
        <w:ind w:left="360"/>
      </w:pPr>
      <w:r>
        <w:rPr>
          <w:rFonts w:ascii="Arial" w:hAnsi="Arial"/>
          <w:b/>
          <w:color w:val="1A365D"/>
          <w:sz w:val="20"/>
        </w:rPr>
        <w:t xml:space="preserve">System Boundaries: </w:t>
      </w:r>
      <w:r>
        <w:rPr>
          <w:rFonts w:ascii="Arial" w:hAnsi="Arial"/>
          <w:color w:val="2D3748"/>
          <w:sz w:val="20"/>
        </w:rPr>
        <w:t>Edge computing devices (smartphones, POS terminals, tablets, web browsers), local embedded database (SQLite/WatermelonDB), cryptographic keystore, stateless sync broker, and cloud PostgreSQL cluster.</w:t>
      </w:r>
    </w:p>
    <w:p>
      <w:pPr>
        <w:pStyle w:val="ListBullet"/>
        <w:spacing w:before="0" w:after="60" w:line="276" w:lineRule="auto"/>
        <w:ind w:left="360"/>
      </w:pPr>
      <w:r>
        <w:rPr>
          <w:rFonts w:ascii="Arial" w:hAnsi="Arial"/>
          <w:b/>
          <w:color w:val="1A365D"/>
          <w:sz w:val="20"/>
        </w:rPr>
        <w:t xml:space="preserve">Inputs: </w:t>
      </w:r>
      <w:r>
        <w:rPr>
          <w:rFonts w:ascii="Arial" w:hAnsi="Arial"/>
          <w:color w:val="2D3748"/>
          <w:sz w:val="20"/>
        </w:rPr>
        <w:t>Offline financial mutations, device hardware key pairs, network connectivity state changes, remote root hashes.</w:t>
      </w:r>
    </w:p>
    <w:p>
      <w:pPr>
        <w:pStyle w:val="ListBullet"/>
        <w:spacing w:before="0" w:after="60" w:line="276" w:lineRule="auto"/>
        <w:ind w:left="360"/>
      </w:pPr>
      <w:r>
        <w:rPr>
          <w:rFonts w:ascii="Arial" w:hAnsi="Arial"/>
          <w:b/>
          <w:color w:val="1A365D"/>
          <w:sz w:val="20"/>
        </w:rPr>
        <w:t xml:space="preserve">Outputs: </w:t>
      </w:r>
      <w:r>
        <w:rPr>
          <w:rFonts w:ascii="Arial" w:hAnsi="Arial"/>
          <w:color w:val="2D3748"/>
          <w:sz w:val="20"/>
        </w:rPr>
        <w:t>Cryptographically signed delta payloads, minimal symmetric difference operation sets, converged immutable ledger states, Merkle DAG root attestations.</w:t>
      </w:r>
    </w:p>
    <w:p>
      <w:pPr>
        <w:spacing w:before="320" w:after="160" w:line="276" w:lineRule="auto"/>
      </w:pPr>
      <w:r>
        <w:rPr>
          <w:rFonts w:ascii="Arial" w:hAnsi="Arial"/>
          <w:b/>
          <w:color w:val="1A365D"/>
          <w:sz w:val="34"/>
        </w:rPr>
        <w:t>PART 5 — COMPLETE SYSTEM ARCHITECTURE</w:t>
      </w:r>
    </w:p>
    <w:p>
      <w:pPr>
        <w:spacing w:before="0" w:after="100" w:line="276" w:lineRule="auto"/>
      </w:pPr>
      <w:r>
        <w:rPr>
          <w:rFonts w:ascii="Arial" w:hAnsi="Arial"/>
          <w:color w:val="2D3748"/>
          <w:sz w:val="20"/>
        </w:rPr>
        <w:t>The proposed system architecture is engineered to guarantee deterministic consistency, low bandwidth overhead, and cryptographic tamper-evidence across heterogeneous edge devices operating under intermittent connectivity.</w:t>
      </w:r>
    </w:p>
    <w:p>
      <w:pPr>
        <w:spacing w:before="240" w:after="100" w:line="276" w:lineRule="auto"/>
      </w:pPr>
      <w:r>
        <w:rPr>
          <w:rFonts w:ascii="Arial" w:hAnsi="Arial"/>
          <w:b/>
          <w:color w:val="2B6CB0"/>
          <w:sz w:val="26"/>
        </w:rPr>
        <w:t>5.1 System Context Architecture</w:t>
      </w:r>
    </w:p>
    <w:p>
      <w:pPr>
        <w:spacing w:before="0" w:after="100" w:line="276" w:lineRule="auto"/>
      </w:pPr>
      <w:r>
        <w:rPr>
          <w:rFonts w:ascii="Arial" w:hAnsi="Arial"/>
          <w:color w:val="2D3748"/>
          <w:sz w:val="20"/>
        </w:rPr>
        <w:t>Figure 1 illustrates the high-level system context, delineating the operational boundaries between edge client nodes, the stateless synchronization gateway broker, and the cloud persistence plane.</w:t>
      </w:r>
    </w:p>
    <w:p>
      <w:pPr>
        <w:spacing w:before="160" w:after="80" w:line="276" w:lineRule="auto"/>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fig1_system_context.png"/>
                    <pic:cNvPicPr/>
                  </pic:nvPicPr>
                  <pic:blipFill>
                    <a:blip r:embed="rId11"/>
                    <a:stretch>
                      <a:fillRect/>
                    </a:stretch>
                  </pic:blipFill>
                  <pic:spPr>
                    <a:xfrm>
                      <a:off x="0" y="0"/>
                      <a:ext cx="5669280" cy="3307080"/>
                    </a:xfrm>
                    <a:prstGeom prst="rect"/>
                  </pic:spPr>
                </pic:pic>
              </a:graphicData>
            </a:graphic>
          </wp:inline>
        </w:drawing>
      </w:r>
    </w:p>
    <w:p>
      <w:pPr>
        <w:spacing w:before="0" w:after="160" w:line="276" w:lineRule="auto"/>
        <w:jc w:val="center"/>
      </w:pPr>
      <w:r>
        <w:rPr>
          <w:rFonts w:ascii="Arial" w:hAnsi="Arial"/>
          <w:i/>
          <w:color w:val="64748B"/>
          <w:sz w:val="17"/>
        </w:rPr>
        <w:t>Figure 1: High-Level System Context Architecture — Heterogeneous Edge Clients, Sync Gateway, and Cloud Consistency Plane</w:t>
      </w:r>
    </w:p>
    <w:p>
      <w:pPr>
        <w:spacing w:before="0" w:after="100" w:line="276" w:lineRule="auto"/>
      </w:pPr>
      <w:r>
        <w:rPr>
          <w:rFonts w:ascii="Arial" w:hAnsi="Arial"/>
          <w:color w:val="2D3748"/>
          <w:sz w:val="20"/>
        </w:rPr>
        <w:t>The edge client environment operates as an autonomous, offline-capable unit. It maintains a local delta-CRDT store (SQLite or WatermelonDB), an Ed25519 signing engine anchored in the device hardware keystore, and a local 16-ary Merkle Radix Trie. The synchronization gateway broker acts as a stateless real-time hub, performing logarithmic tree walks and commutative delta resolution without acquiring database row locks.</w:t>
      </w:r>
    </w:p>
    <w:p>
      <w:pPr>
        <w:spacing w:before="240" w:after="100" w:line="276" w:lineRule="auto"/>
      </w:pPr>
      <w:r>
        <w:rPr>
          <w:rFonts w:ascii="Arial" w:hAnsi="Arial"/>
          <w:b/>
          <w:color w:val="2B6CB0"/>
          <w:sz w:val="26"/>
        </w:rPr>
        <w:t>5.2 Layered End-to-End System Architecture</w:t>
      </w:r>
    </w:p>
    <w:p>
      <w:pPr>
        <w:spacing w:before="0" w:after="100" w:line="276" w:lineRule="auto"/>
      </w:pPr>
      <w:r>
        <w:rPr>
          <w:rFonts w:ascii="Arial" w:hAnsi="Arial"/>
          <w:color w:val="2D3748"/>
          <w:sz w:val="20"/>
        </w:rPr>
        <w:t>Figure 2 details the internal multi-tier engineering components spanning edge runtimes, cryptographic engines, protocol pipelines, and cloud cluster stores.</w:t>
      </w:r>
    </w:p>
    <w:p>
      <w:pPr>
        <w:spacing w:before="160" w:after="80" w:line="276" w:lineRule="auto"/>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2_high_level_architecture.png"/>
                    <pic:cNvPicPr/>
                  </pic:nvPicPr>
                  <pic:blipFill>
                    <a:blip r:embed="rId12"/>
                    <a:stretch>
                      <a:fillRect/>
                    </a:stretch>
                  </pic:blipFill>
                  <pic:spPr>
                    <a:xfrm>
                      <a:off x="0" y="0"/>
                      <a:ext cx="5669280" cy="3543300"/>
                    </a:xfrm>
                    <a:prstGeom prst="rect"/>
                  </pic:spPr>
                </pic:pic>
              </a:graphicData>
            </a:graphic>
          </wp:inline>
        </w:drawing>
      </w:r>
    </w:p>
    <w:p>
      <w:pPr>
        <w:spacing w:before="0" w:after="160" w:line="276" w:lineRule="auto"/>
        <w:jc w:val="center"/>
      </w:pPr>
      <w:r>
        <w:rPr>
          <w:rFonts w:ascii="Arial" w:hAnsi="Arial"/>
          <w:i/>
          <w:color w:val="64748B"/>
          <w:sz w:val="17"/>
        </w:rPr>
        <w:t>Figure 2: Layered Technical Architecture — Edge Runtime, Merkle-CRDT Protocol Engine, and Cloud Persistence Layer</w:t>
      </w:r>
    </w:p>
    <w:p>
      <w:pPr>
        <w:spacing w:before="180" w:after="60" w:line="276" w:lineRule="auto"/>
      </w:pPr>
      <w:r>
        <w:rPr>
          <w:rFonts w:ascii="Arial" w:hAnsi="Arial"/>
          <w:b/>
          <w:color w:val="2D3748"/>
          <w:sz w:val="22"/>
        </w:rPr>
        <w:t>Component Architectural Breakdown</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Architectural Layer</w:t>
            </w:r>
          </w:p>
        </w:tc>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Implementation Technology</w:t>
            </w:r>
          </w:p>
        </w:tc>
        <w:tc>
          <w:tcPr>
            <w:tcW w:type="dxa" w:w="331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Core Responsibilities &amp; Capabilities</w:t>
            </w:r>
          </w:p>
        </w:tc>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Primary Dependencies</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Edge Client Layer</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React Native / Expo SPA with local SQLite</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Buffers local mutations, signs envelopes using hardware-backed Ed25519 keys, and manages local Merkle prefix trees.</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AsyncStorage / SQLite</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Protocol Engine</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Stateless TypeScript / Node.js Engine</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Builds signed mutation envelopes, executes logarithmic Merkle tree walks, and enforces commutative lattice resolution.</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libsodium / TweetNaCl</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Sync Broker Hub</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Express 5 / WebSocket Gateway</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Maintains active client sessions, performs real-time symmetric diff walks, and broadcasts delta patches to peer devices.</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WebSocket / HTTP/2</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Cloud Persistence</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PostgreSQL 15+ Cluster (Supabase)</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Houses the immutable append-only operation log, workspace tenant schemas, and periodic state snapshots.</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PostgreSQL 15+</w:t>
            </w:r>
          </w:p>
        </w:tc>
      </w:tr>
    </w:tbl>
    <w:p>
      <w:pPr>
        <w:spacing w:before="0" w:after="120" w:line="276" w:lineRule="auto"/>
      </w:pPr>
    </w:p>
    <w:p>
      <w:pPr>
        <w:spacing w:before="240" w:after="100" w:line="276" w:lineRule="auto"/>
      </w:pPr>
      <w:r>
        <w:rPr>
          <w:rFonts w:ascii="Arial" w:hAnsi="Arial"/>
          <w:b/>
          <w:color w:val="2B6CB0"/>
          <w:sz w:val="26"/>
        </w:rPr>
        <w:t>5.3 Merkle Radix Trie and Logarithmic Delta Discovery</w:t>
      </w:r>
    </w:p>
    <w:p>
      <w:pPr>
        <w:spacing w:before="0" w:after="100" w:line="276" w:lineRule="auto"/>
      </w:pPr>
      <w:r>
        <w:rPr>
          <w:rFonts w:ascii="Arial" w:hAnsi="Arial"/>
          <w:color w:val="2D3748"/>
          <w:sz w:val="20"/>
        </w:rPr>
        <w:t>Figure 3 illustrates the logarithmic symmetric difference tree walk algorithm that eliminates full dataset re-transmission during reconnection.</w:t>
      </w:r>
    </w:p>
    <w:p>
      <w:pPr>
        <w:spacing w:before="160" w:after="80" w:line="276" w:lineRule="auto"/>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fig3_merkle_diff_walk.png"/>
                    <pic:cNvPicPr/>
                  </pic:nvPicPr>
                  <pic:blipFill>
                    <a:blip r:embed="rId13"/>
                    <a:stretch>
                      <a:fillRect/>
                    </a:stretch>
                  </pic:blipFill>
                  <pic:spPr>
                    <a:xfrm>
                      <a:off x="0" y="0"/>
                      <a:ext cx="5669280" cy="3307080"/>
                    </a:xfrm>
                    <a:prstGeom prst="rect"/>
                  </pic:spPr>
                </pic:pic>
              </a:graphicData>
            </a:graphic>
          </wp:inline>
        </w:drawing>
      </w:r>
    </w:p>
    <w:p>
      <w:pPr>
        <w:spacing w:before="0" w:after="160" w:line="276" w:lineRule="auto"/>
        <w:jc w:val="center"/>
      </w:pPr>
      <w:r>
        <w:rPr>
          <w:rFonts w:ascii="Arial" w:hAnsi="Arial"/>
          <w:i/>
          <w:color w:val="64748B"/>
          <w:sz w:val="17"/>
        </w:rPr>
        <w:t>Figure 3: Logarithmic Merkle Radix Trie Symmetric Diff Walk — Isolating Divergent Subtrees in O(log N) Time</w:t>
      </w:r>
    </w:p>
    <w:p>
      <w:pPr>
        <w:spacing w:before="0" w:after="100" w:line="276" w:lineRule="auto"/>
      </w:pPr>
      <w:r>
        <w:rPr>
          <w:rFonts w:ascii="Arial" w:hAnsi="Arial"/>
          <w:color w:val="2D3748"/>
          <w:sz w:val="20"/>
        </w:rPr>
        <w:t>When two nodes synchronize, they first exchange their 32-byte Merkle root hashes. If the root hashes match, synchronization terminates immediately in a single network roundtrip (0 KB payload). If root hashes differ, the nodes traverse downward into the 16 child buckets. Subtrees with identical hashes are skipped; only divergent branches are traversed. For a ledger of 100,000 transactions with 5 offline mutations, the tree walk isolates the exact 5 divergent operations within 4 roundtrips, reducing bandwidth consumption by over 98% compared to full log replication.</w:t>
      </w:r>
    </w:p>
    <w:p>
      <w:pPr>
        <w:spacing w:before="240" w:after="100" w:line="276" w:lineRule="auto"/>
      </w:pPr>
      <w:r>
        <w:rPr>
          <w:rFonts w:ascii="Arial" w:hAnsi="Arial"/>
          <w:b/>
          <w:color w:val="2B6CB0"/>
          <w:sz w:val="26"/>
        </w:rPr>
        <w:t>5.4 Sequence Flow: Concurrent Offline Mutations and Convergence</w:t>
      </w:r>
    </w:p>
    <w:p>
      <w:pPr>
        <w:spacing w:before="0" w:after="100" w:line="276" w:lineRule="auto"/>
      </w:pPr>
      <w:r>
        <w:rPr>
          <w:rFonts w:ascii="Arial" w:hAnsi="Arial"/>
          <w:color w:val="2D3748"/>
          <w:sz w:val="20"/>
        </w:rPr>
        <w:t>Figure 4 demonstrates the sequence of events when two disconnected devices perform simultaneous ledger mutations and reconcile their states deterministically upon reconnection.</w:t>
      </w:r>
    </w:p>
    <w:p>
      <w:pPr>
        <w:spacing w:before="160" w:after="80" w:line="276" w:lineRule="auto"/>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4_sequence_flow.png"/>
                    <pic:cNvPicPr/>
                  </pic:nvPicPr>
                  <pic:blipFill>
                    <a:blip r:embed="rId14"/>
                    <a:stretch>
                      <a:fillRect/>
                    </a:stretch>
                  </pic:blipFill>
                  <pic:spPr>
                    <a:xfrm>
                      <a:off x="0" y="0"/>
                      <a:ext cx="5669280" cy="3543300"/>
                    </a:xfrm>
                    <a:prstGeom prst="rect"/>
                  </pic:spPr>
                </pic:pic>
              </a:graphicData>
            </a:graphic>
          </wp:inline>
        </w:drawing>
      </w:r>
    </w:p>
    <w:p>
      <w:pPr>
        <w:spacing w:before="0" w:after="160" w:line="276" w:lineRule="auto"/>
        <w:jc w:val="center"/>
      </w:pPr>
      <w:r>
        <w:rPr>
          <w:rFonts w:ascii="Arial" w:hAnsi="Arial"/>
          <w:i/>
          <w:color w:val="64748B"/>
          <w:sz w:val="17"/>
        </w:rPr>
        <w:t>Figure 4: Sequence Flow — Concurrent Offline Ledger Mutations, Asymmetric Reconnection, and Commutative State Convergence</w:t>
      </w:r>
    </w:p>
    <w:p>
      <w:r>
        <w:br w:type="page"/>
      </w:r>
    </w:p>
    <w:p>
      <w:pPr>
        <w:spacing w:before="320" w:after="160" w:line="276" w:lineRule="auto"/>
      </w:pPr>
      <w:r>
        <w:rPr>
          <w:rFonts w:ascii="Arial" w:hAnsi="Arial"/>
          <w:b/>
          <w:color w:val="1A365D"/>
          <w:sz w:val="34"/>
        </w:rPr>
        <w:t>PART 6 — COMPLETE TECHNOLOGY STACK &amp; INFRASTRUCTURE EVALUATION</w:t>
      </w:r>
    </w:p>
    <w:p>
      <w:pPr>
        <w:spacing w:before="0" w:after="100" w:line="276" w:lineRule="auto"/>
      </w:pPr>
      <w:r>
        <w:rPr>
          <w:rFonts w:ascii="Arial" w:hAnsi="Arial"/>
          <w:color w:val="2D3748"/>
          <w:sz w:val="20"/>
        </w:rPr>
        <w:t>A rigorous technology evaluation was conducted to balance performance, edge resource constraints, security, and developer feasibility. The recommended stack integrates cleanly with HisabHero's existing structure.</w:t>
      </w:r>
    </w:p>
    <w:p>
      <w:pPr>
        <w:spacing w:before="240" w:after="100" w:line="276" w:lineRule="auto"/>
      </w:pPr>
      <w:r>
        <w:rPr>
          <w:rFonts w:ascii="Arial" w:hAnsi="Arial"/>
          <w:b/>
          <w:color w:val="2B6CB0"/>
          <w:sz w:val="26"/>
        </w:rPr>
        <w:t>6.1 Technology Evaluation and Selection Rationale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Component</w:t>
            </w:r>
          </w:p>
        </w:tc>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Recommended Choice</w:t>
            </w:r>
          </w:p>
        </w:tc>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Evaluated Alternatives</w:t>
            </w:r>
          </w:p>
        </w:tc>
        <w:tc>
          <w:tcPr>
            <w:tcW w:type="dxa" w:w="288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Technical Justification &amp; Trade-Off Rationale</w:t>
            </w:r>
          </w:p>
        </w:tc>
        <w:tc>
          <w:tcPr>
            <w:tcW w:type="dxa" w:w="86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Confidence</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Edge Database</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WatermelonDB / SQLite</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AsyncStorage, Realm, Couchbase Lite</w:t>
            </w:r>
          </w:p>
        </w:tc>
        <w:tc>
          <w:tcPr>
            <w:tcW w:type="dxa" w:w="288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SQLite provides ACID transactions, zero-copy indexing, and minimal memory overhead compared to Realm or AsyncStorage.</w:t>
            </w:r>
          </w:p>
        </w:tc>
        <w:tc>
          <w:tcPr>
            <w:tcW w:type="dxa" w:w="86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r>
      <w:tr>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Cryptography</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TweetNaCl / libsodium (Ed25519)</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Web Crypto API, OpenSSL, SubtleCrypto</w:t>
            </w:r>
          </w:p>
        </w:tc>
        <w:tc>
          <w:tcPr>
            <w:tcW w:type="dxa" w:w="288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TweetNaCl is lightweight (&lt;10KB), pure JS/Hermes compatible, and provides constant-time Ed25519 signing.</w:t>
            </w:r>
          </w:p>
        </w:tc>
        <w:tc>
          <w:tcPr>
            <w:tcW w:type="dxa" w:w="86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Backend Server</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Node.js (Express 5 / Fastify)</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Go (Golang), Rust (Actix-web), Python</w:t>
            </w:r>
          </w:p>
        </w:tc>
        <w:tc>
          <w:tcPr>
            <w:tcW w:type="dxa" w:w="288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Preserves HisabHero codebase continuity while offering asynchronous I/O ideal for WebSocket synchronization.</w:t>
            </w:r>
          </w:p>
        </w:tc>
        <w:tc>
          <w:tcPr>
            <w:tcW w:type="dxa" w:w="86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r>
      <w:tr>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Cloud Database</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PostgreSQL 15+ (Supabase)</w:t>
            </w:r>
          </w:p>
        </w:tc>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MongoDB Atlas, DynamoDB, Cassandra</w:t>
            </w:r>
          </w:p>
        </w:tc>
        <w:tc>
          <w:tcPr>
            <w:tcW w:type="dxa" w:w="288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PostgreSQL provides relational integrity, native JSONB support, pgcrypto, and row-level security (RLS).</w:t>
            </w:r>
          </w:p>
        </w:tc>
        <w:tc>
          <w:tcPr>
            <w:tcW w:type="dxa" w:w="86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Transport Protocol</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HTTP/2 &amp; WebSocket with Backoff</w:t>
            </w:r>
          </w:p>
        </w:tc>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gRPC-Web, MQTT, Long Polling</w:t>
            </w:r>
          </w:p>
        </w:tc>
        <w:tc>
          <w:tcPr>
            <w:tcW w:type="dxa" w:w="288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WebSocket provides bidirectional low-latency framing; HTTP/2 fallback ensures traversal through restrictive mobile firewalls.</w:t>
            </w:r>
          </w:p>
        </w:tc>
        <w:tc>
          <w:tcPr>
            <w:tcW w:type="dxa" w:w="86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Medium</w:t>
            </w:r>
          </w:p>
        </w:tc>
      </w:tr>
    </w:tbl>
    <w:p>
      <w:pPr>
        <w:spacing w:before="0" w:after="120" w:line="276" w:lineRule="auto"/>
      </w:pPr>
    </w:p>
    <w:p>
      <w:pPr>
        <w:spacing w:before="240" w:after="100" w:line="276" w:lineRule="auto"/>
      </w:pPr>
      <w:r>
        <w:rPr>
          <w:rFonts w:ascii="Arial" w:hAnsi="Arial"/>
          <w:b/>
          <w:color w:val="2B6CB0"/>
          <w:sz w:val="26"/>
        </w:rPr>
        <w:t>6.2 Infrastructure Cost Projections</w:t>
      </w:r>
    </w:p>
    <w:p>
      <w:pPr>
        <w:spacing w:before="0" w:after="100" w:line="276" w:lineRule="auto"/>
      </w:pPr>
      <w:r>
        <w:rPr>
          <w:rFonts w:ascii="Arial" w:hAnsi="Arial"/>
          <w:b/>
          <w:color w:val="1A365D"/>
          <w:sz w:val="20"/>
        </w:rPr>
        <w:t xml:space="preserve">Infrastructure Economics: </w:t>
      </w:r>
      <w:r>
        <w:rPr>
          <w:rFonts w:ascii="Arial" w:hAnsi="Arial"/>
          <w:color w:val="2D3748"/>
          <w:sz w:val="20"/>
        </w:rPr>
        <w:t>Estimated operating costs across developmental, staging, and production tiers are documented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Operational Tier</w:t>
            </w:r>
          </w:p>
        </w:tc>
        <w:tc>
          <w:tcPr>
            <w:tcW w:type="dxa" w:w="259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Infrastructure Specification &amp; Provider</w:t>
            </w:r>
          </w:p>
        </w:tc>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Estimated Cost (INR)</w:t>
            </w:r>
          </w:p>
        </w:tc>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Estimated Cost (USD)</w:t>
            </w:r>
          </w:p>
        </w:tc>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Assumptions &amp; Notes</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Development &amp; Testing</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Local workstation (Node 20, SQLite, Local PostgreSQL)</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₹0 / Free</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$0 / mo</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Zero external dependency.</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Staging Environment</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Hetzner Cloud VPS (4 vCPU, 8GB RAM, 160GB NVMe)</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₹1,200 / mo</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$14.50 / mo</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Dedicated staging cluster.</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Production Cloud Tier</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Supabase Pro (Postgres) + Render Web Worker Cluster</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₹3,800 / mo</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$45.00 / mo</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Scalable to 50,000 active MSMEs.</w:t>
            </w:r>
          </w:p>
        </w:tc>
      </w:tr>
      <w:tr>
        <w:tc>
          <w:tcPr>
            <w:tcW w:type="dxa" w:w="201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Domain, SSL &amp; DNS</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Cloudflare DNS + Let's Encrypt Wildcard SSL</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₹950 / yr</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$11.50 / yr</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DDoS mitigation &amp; edge CDN.</w:t>
            </w:r>
          </w:p>
        </w:tc>
      </w:tr>
      <w:tr>
        <w:tc>
          <w:tcPr>
            <w:tcW w:type="dxa" w:w="201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Total Estimated Year 1</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Complete Development, Staging &amp; Initial Production Run</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₹61,950</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$745.00</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Feasible for an individual inventor.</w:t>
            </w:r>
          </w:p>
        </w:tc>
      </w:tr>
    </w:tbl>
    <w:p>
      <w:pPr>
        <w:spacing w:before="0" w:after="120" w:line="276" w:lineRule="auto"/>
      </w:pPr>
    </w:p>
    <w:p>
      <w:r>
        <w:br w:type="page"/>
      </w:r>
    </w:p>
    <w:p>
      <w:pPr>
        <w:spacing w:before="320" w:after="160" w:line="276" w:lineRule="auto"/>
      </w:pPr>
      <w:r>
        <w:rPr>
          <w:rFonts w:ascii="Arial" w:hAnsi="Arial"/>
          <w:b/>
          <w:color w:val="1A365D"/>
          <w:sz w:val="34"/>
        </w:rPr>
        <w:t>PART 7 — ALGORITHMS AND TECHNICAL IMPLEMENTATION</w:t>
      </w:r>
    </w:p>
    <w:p>
      <w:pPr>
        <w:spacing w:before="0" w:after="100" w:line="276" w:lineRule="auto"/>
      </w:pPr>
      <w:r>
        <w:rPr>
          <w:rFonts w:ascii="Arial" w:hAnsi="Arial"/>
          <w:color w:val="2D3748"/>
          <w:sz w:val="20"/>
        </w:rPr>
        <w:t>This section details the mathematical foundation, pseudocode, and API interfaces governing the proposed Merkle-CRDT synchronization engine.</w:t>
      </w:r>
    </w:p>
    <w:p>
      <w:pPr>
        <w:spacing w:before="240" w:after="100" w:line="276" w:lineRule="auto"/>
      </w:pPr>
      <w:r>
        <w:rPr>
          <w:rFonts w:ascii="Arial" w:hAnsi="Arial"/>
          <w:b/>
          <w:color w:val="2B6CB0"/>
          <w:sz w:val="26"/>
        </w:rPr>
        <w:t>7.1 Mathematical Foundation: Bounded Join-Semilattices</w:t>
      </w:r>
    </w:p>
    <w:p>
      <w:pPr>
        <w:spacing w:before="0" w:after="100" w:line="276" w:lineRule="auto"/>
      </w:pPr>
      <w:r>
        <w:rPr>
          <w:rFonts w:ascii="Arial" w:hAnsi="Arial"/>
          <w:color w:val="2D3748"/>
          <w:sz w:val="20"/>
        </w:rPr>
        <w:t>A state-based Conflict-Free Replicated Data Type is mathematically defined as a join-semilattice (S, ⊔), where S is the set of all possible ledger states and ⊔ is a binary join operator satisfying three fundamental algebraic axioms:</w:t>
      </w:r>
    </w:p>
    <w:p>
      <w:pPr>
        <w:pStyle w:val="ListBullet"/>
        <w:spacing w:before="0" w:after="60" w:line="276" w:lineRule="auto"/>
        <w:ind w:left="360"/>
      </w:pPr>
      <w:r>
        <w:rPr>
          <w:rFonts w:ascii="Arial" w:hAnsi="Arial"/>
          <w:b/>
          <w:color w:val="1A365D"/>
          <w:sz w:val="20"/>
        </w:rPr>
        <w:t xml:space="preserve">1. Commutativity: </w:t>
      </w:r>
      <w:r>
        <w:rPr>
          <w:rFonts w:ascii="Arial" w:hAnsi="Arial"/>
          <w:color w:val="2D3748"/>
          <w:sz w:val="20"/>
        </w:rPr>
        <w:t>a ⊔ b = b ⊔ a (Order of mutation delivery does not affect the final state).</w:t>
      </w:r>
    </w:p>
    <w:p>
      <w:pPr>
        <w:pStyle w:val="ListBullet"/>
        <w:spacing w:before="0" w:after="60" w:line="276" w:lineRule="auto"/>
        <w:ind w:left="360"/>
      </w:pPr>
      <w:r>
        <w:rPr>
          <w:rFonts w:ascii="Arial" w:hAnsi="Arial"/>
          <w:b/>
          <w:color w:val="1A365D"/>
          <w:sz w:val="20"/>
        </w:rPr>
        <w:t xml:space="preserve">2. Associativity: </w:t>
      </w:r>
      <w:r>
        <w:rPr>
          <w:rFonts w:ascii="Arial" w:hAnsi="Arial"/>
          <w:color w:val="2D3748"/>
          <w:sz w:val="20"/>
        </w:rPr>
        <w:t>(a ⊔ b) ⊔ c = a ⊔ (b ⊔ c) (Grouping and batching of network packets does not alter convergence).</w:t>
      </w:r>
    </w:p>
    <w:p>
      <w:pPr>
        <w:pStyle w:val="ListBullet"/>
        <w:spacing w:before="0" w:after="60" w:line="276" w:lineRule="auto"/>
        <w:ind w:left="360"/>
      </w:pPr>
      <w:r>
        <w:rPr>
          <w:rFonts w:ascii="Arial" w:hAnsi="Arial"/>
          <w:b/>
          <w:color w:val="1A365D"/>
          <w:sz w:val="20"/>
        </w:rPr>
        <w:t xml:space="preserve">3. Idempotence: </w:t>
      </w:r>
      <w:r>
        <w:rPr>
          <w:rFonts w:ascii="Arial" w:hAnsi="Arial"/>
          <w:color w:val="2D3748"/>
          <w:sz w:val="20"/>
        </w:rPr>
        <w:t>a ⊔ a = a (Duplicate packet re-transmission produces no side-effects, guaranteeing idempotency).</w:t>
      </w:r>
    </w:p>
    <w:p>
      <w:pPr>
        <w:spacing w:before="0" w:after="100" w:line="276" w:lineRule="auto"/>
      </w:pPr>
      <w:r>
        <w:rPr>
          <w:rFonts w:ascii="Arial" w:hAnsi="Arial"/>
          <w:color w:val="2D3748"/>
          <w:sz w:val="20"/>
        </w:rPr>
        <w:t>For financial balance accumulation, financial delta operations commute across addition: Delta_A + Delta_B == Delta_B + Delta_A. For entity metadata (e.g., vendor name, tax category), state convergence is governed by the causal dominance of vector clocks V_1, V_2, with deterministic Ed25519 public key lexicographical tie-breaking for concurrent edits.</w:t>
      </w:r>
    </w:p>
    <w:p>
      <w:pPr>
        <w:spacing w:before="240" w:after="100" w:line="276" w:lineRule="auto"/>
      </w:pPr>
      <w:r>
        <w:rPr>
          <w:rFonts w:ascii="Arial" w:hAnsi="Arial"/>
          <w:b/>
          <w:color w:val="2B6CB0"/>
          <w:sz w:val="26"/>
        </w:rPr>
        <w:t>7.2 Pseudocode: Five Core Technical Algorithms</w:t>
      </w:r>
    </w:p>
    <w:p>
      <w:pPr>
        <w:spacing w:before="180" w:after="60" w:line="276" w:lineRule="auto"/>
      </w:pPr>
      <w:r>
        <w:rPr>
          <w:rFonts w:ascii="Arial" w:hAnsi="Arial"/>
          <w:b/>
          <w:color w:val="2D3748"/>
          <w:sz w:val="22"/>
        </w:rPr>
        <w:t>Algorithm 1: Local Mutation Ingestion &amp; Cryptographic Envelope Construction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40" w:lineRule="auto"/>
            </w:pPr>
            <w:r>
              <w:rPr>
                <w:rFonts w:ascii="Consolas" w:hAnsi="Consolas"/>
                <w:color w:val="1E293B"/>
                <w:sz w:val="17"/>
              </w:rPr>
              <w:t>function CREATE_OPERATION_ENVELOPE(entityType, entityId, opType, payload, deviceContext):</w:t>
              <w:br/>
              <w:t xml:space="preserve">    // 1. Fetch persistent device signing key and state</w:t>
              <w:br/>
              <w:t xml:space="preserve">    privateKey = deviceContext.getHardwarePrivateKey()</w:t>
              <w:br/>
              <w:t xml:space="preserve">    deviceId = deviceContext.getDeviceId()</w:t>
              <w:br/>
              <w:t xml:space="preserve">    seqNumber = deviceContext.incrementLocalSequence()</w:t>
              <w:br/>
              <w:t xml:space="preserve">    </w:t>
              <w:br/>
              <w:t xml:space="preserve">    // 2. Advance device vector clock</w:t>
              <w:br/>
              <w:t xml:space="preserve">    vectorClock = deviceContext.getVectorClock()</w:t>
              <w:br/>
              <w:t xml:space="preserve">    vectorClock[deviceId] = (vectorClock[deviceId] || 0) + 1</w:t>
              <w:br/>
              <w:t xml:space="preserve">    </w:t>
              <w:br/>
              <w:t xml:space="preserve">    // 3. Assemble canonical payload envelope</w:t>
              <w:br/>
              <w:t xml:space="preserve">    envelope = {</w:t>
              <w:br/>
              <w:t xml:space="preserve">        opId: generateUUIDv4(),</w:t>
              <w:br/>
              <w:t xml:space="preserve">        workspaceId: deviceContext.getActiveWorkspaceId(),</w:t>
              <w:br/>
              <w:t xml:space="preserve">        deviceId: deviceId,</w:t>
              <w:br/>
              <w:t xml:space="preserve">        seqNumber: seqNumber,</w:t>
              <w:br/>
              <w:t xml:space="preserve">        timestamp: getCurrentMonotonicTimeMs(),</w:t>
              <w:br/>
              <w:t xml:space="preserve">        vectorClock: vectorClock,</w:t>
              <w:br/>
              <w:t xml:space="preserve">        entityType: entityType,</w:t>
              <w:br/>
              <w:t xml:space="preserve">        entityId: entityId,</w:t>
              <w:br/>
              <w:t xml:space="preserve">        opType: opType, // 'INSERT' | 'UPDATE' | 'DELETE' | 'ADJUST_BALANCE'</w:t>
              <w:br/>
              <w:t xml:space="preserve">        payload: payload,</w:t>
              <w:br/>
              <w:t xml:space="preserve">        previousOpHash: deviceContext.getLastOperationHash()</w:t>
              <w:br/>
              <w:t xml:space="preserve">    }</w:t>
              <w:br/>
              <w:t xml:space="preserve">    </w:t>
              <w:br/>
              <w:t xml:space="preserve">    // 4. Compute cryptographic SHA-256 hash of canonical JSON</w:t>
              <w:br/>
              <w:t xml:space="preserve">    serializedPayload = canonicalJsonSerialize(envelope)</w:t>
              <w:br/>
              <w:t xml:space="preserve">    opHash = sha256(serializedPayload)</w:t>
              <w:br/>
              <w:t xml:space="preserve">    envelope.opHash = opHash</w:t>
              <w:br/>
              <w:t xml:space="preserve">    </w:t>
              <w:br/>
              <w:t xml:space="preserve">    // 5. Hardware-anchored Ed25519 digital signature</w:t>
              <w:br/>
              <w:t xml:space="preserve">    envelope.signature = ed25519_sign(serializedPayload, privateKey)</w:t>
              <w:br/>
              <w:t xml:space="preserve">    </w:t>
              <w:br/>
              <w:t xml:space="preserve">    // 6. Update local Merkle Trie and persist to SQLite</w:t>
              <w:br/>
              <w:t xml:space="preserve">    localMerkleTrie.insert(opHash, envelope)</w:t>
              <w:br/>
              <w:t xml:space="preserve">    deviceContext.setLastOperationHash(opHash)</w:t>
              <w:br/>
              <w:t xml:space="preserve">    localDb.pendingMutations.insert(envelope)</w:t>
              <w:br/>
              <w:t xml:space="preserve">    </w:t>
              <w:br/>
              <w:t xml:space="preserve">    return envelope</w:t>
            </w:r>
          </w:p>
        </w:tc>
      </w:tr>
    </w:tbl>
    <w:p>
      <w:pPr>
        <w:spacing w:before="0" w:after="80" w:line="276" w:lineRule="auto"/>
      </w:pPr>
    </w:p>
    <w:p>
      <w:pPr>
        <w:spacing w:before="180" w:after="60" w:line="276" w:lineRule="auto"/>
      </w:pPr>
      <w:r>
        <w:rPr>
          <w:rFonts w:ascii="Arial" w:hAnsi="Arial"/>
          <w:b/>
          <w:color w:val="2D3748"/>
          <w:sz w:val="22"/>
        </w:rPr>
        <w:t>Algorithm 2: Logarithmic Merkle Radix Trie Symmetric Diff Walk</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40" w:lineRule="auto"/>
            </w:pPr>
            <w:r>
              <w:rPr>
                <w:rFonts w:ascii="Consolas" w:hAnsi="Consolas"/>
                <w:color w:val="1E293B"/>
                <w:sz w:val="17"/>
              </w:rPr>
              <w:t>function MERKLE_DIFF_WALK(localNode, remoteNodeRef, syncTransport):</w:t>
              <w:br/>
              <w:t xml:space="preserve">    missingDeltas = []</w:t>
              <w:br/>
              <w:t xml:space="preserve">    </w:t>
              <w:br/>
              <w:t xml:space="preserve">    // 1. Base case: Hashes match perfectly -&gt; Subtrees are identical</w:t>
              <w:br/>
              <w:t xml:space="preserve">    if localNode.hash == remoteNodeRef.hash:</w:t>
              <w:br/>
              <w:t xml:space="preserve">        return missingDeltas // 0 bytes transferred</w:t>
              <w:br/>
              <w:t xml:space="preserve">        </w:t>
              <w:br/>
              <w:t xml:space="preserve">    // 2. Leaf node level reached: Identify exact differing operation</w:t>
              <w:br/>
              <w:t xml:space="preserve">    if localNode.isLeaf and remoteNodeRef.isLeaf:</w:t>
              <w:br/>
              <w:t xml:space="preserve">        if localNode.hash != remoteNodeRef.hash:</w:t>
              <w:br/>
              <w:t xml:space="preserve">            missingDeltas.append(localNode.operation)</w:t>
              <w:br/>
              <w:t xml:space="preserve">        return missingDeltas</w:t>
              <w:br/>
              <w:t xml:space="preserve">        </w:t>
              <w:br/>
              <w:t xml:space="preserve">    // 3. Internal radix node mismatch: Query child hashes from remote peer</w:t>
              <w:br/>
              <w:t xml:space="preserve">    remoteChildHashes = syncTransport.fetchChildHashes(remoteNodeRef.path)</w:t>
              <w:br/>
              <w:t xml:space="preserve">    </w:t>
              <w:br/>
              <w:t xml:space="preserve">    for bucketIdx in 0..15:</w:t>
              <w:br/>
              <w:t xml:space="preserve">        localChild = localNode.getChild(bucketIdx)</w:t>
              <w:br/>
              <w:t xml:space="preserve">        remoteChildHash = remoteChildHashes[bucketIdx]</w:t>
              <w:br/>
              <w:t xml:space="preserve">        </w:t>
              <w:br/>
              <w:t xml:space="preserve">        if localChild != null and remoteChildHash == null:</w:t>
              <w:br/>
              <w:t xml:space="preserve">            // Entire local subtree is missing on remote peer</w:t>
              <w:br/>
              <w:t xml:space="preserve">            missingDeltas.extend(localChild.getAllOperations())</w:t>
              <w:br/>
              <w:t xml:space="preserve">        else if localChild == null and remoteChildHash != null:</w:t>
              <w:br/>
              <w:t xml:space="preserve">            // Peer has operations missing locally -&gt; request from peer</w:t>
              <w:br/>
              <w:t xml:space="preserve">            syncTransport.requestSubtree(remoteNodeRef.path + '/' + bucketIdx)</w:t>
              <w:br/>
              <w:t xml:space="preserve">        else if localChild.hash != remoteChildHash:</w:t>
              <w:br/>
              <w:t xml:space="preserve">            // Recursive descent into mismatched child branch (O(log N))</w:t>
              <w:br/>
              <w:t xml:space="preserve">            deltas = MERKLE_DIFF_WALK(localChild, {path: remoteNodeRef.path + '/' + bucketIdx, hash: remoteChildHash}, syncTransport)</w:t>
              <w:br/>
              <w:t xml:space="preserve">            missingDeltas.extend(deltas)</w:t>
              <w:br/>
              <w:t xml:space="preserve">            </w:t>
              <w:br/>
              <w:t xml:space="preserve">    return missingDeltas</w:t>
            </w:r>
          </w:p>
        </w:tc>
      </w:tr>
    </w:tbl>
    <w:p>
      <w:pPr>
        <w:spacing w:before="0" w:after="80" w:line="276" w:lineRule="auto"/>
      </w:pPr>
    </w:p>
    <w:p>
      <w:pPr>
        <w:spacing w:before="180" w:after="60" w:line="276" w:lineRule="auto"/>
      </w:pPr>
      <w:r>
        <w:rPr>
          <w:rFonts w:ascii="Arial" w:hAnsi="Arial"/>
          <w:b/>
          <w:color w:val="2D3748"/>
          <w:sz w:val="22"/>
        </w:rPr>
        <w:t>Algorithm 3: Deterministic Commutative Ledger Conflict Resolution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40" w:lineRule="auto"/>
            </w:pPr>
            <w:r>
              <w:rPr>
                <w:rFonts w:ascii="Consolas" w:hAnsi="Consolas"/>
                <w:color w:val="1E293B"/>
                <w:sz w:val="17"/>
              </w:rPr>
              <w:t>function RESOLVE_COMMUTATIVE_CONFLICT(localState, incomingDelta):</w:t>
              <w:br/>
              <w:t xml:space="preserve">    // 1. Verify cryptographic Ed25519 signature</w:t>
              <w:br/>
              <w:t xml:space="preserve">    senderPubKey = lookupDevicePublicKey(incomingDelta.deviceId)</w:t>
              <w:br/>
              <w:t xml:space="preserve">    if not ed25519_verify(canonicalJsonSerialize(incomingDelta), incomingDelta.signature, senderPubKey):</w:t>
              <w:br/>
              <w:t xml:space="preserve">        throw SecurityException("Invalid digital signature on incoming delta")</w:t>
              <w:br/>
              <w:t xml:space="preserve">        </w:t>
              <w:br/>
              <w:t xml:space="preserve">    // 2. Case A: Balance adjustment operations (Commutative Monoid)</w:t>
              <w:br/>
              <w:t xml:space="preserve">    if incomingDelta.opType == 'ADJUST_BALANCE':</w:t>
              <w:br/>
              <w:t xml:space="preserve">        // Commutative addition guarantees convergence regardless of ordering</w:t>
              <w:br/>
              <w:t xml:space="preserve">        localState.balance = localState.balance + incomingDelta.payload.amountDelta</w:t>
              <w:br/>
              <w:t xml:space="preserve">        localState.appliedOpIds.add(incomingDelta.opId)</w:t>
              <w:br/>
              <w:t xml:space="preserve">        return localState</w:t>
              <w:br/>
              <w:t xml:space="preserve">        </w:t>
              <w:br/>
              <w:t xml:space="preserve">    // 3. Case B: Entity attribute update (Vector Clock Causal Dominance)</w:t>
              <w:br/>
              <w:t xml:space="preserve">    clockComparison = compareVectorClocks(incomingDelta.vectorClock, localState.vectorClock)</w:t>
              <w:br/>
              <w:t xml:space="preserve">    </w:t>
              <w:br/>
              <w:t xml:space="preserve">    if clockComparison == 'DOMINATES':</w:t>
              <w:br/>
              <w:t xml:space="preserve">        // Incoming delta is causally newer -&gt; Apply update</w:t>
              <w:br/>
              <w:t xml:space="preserve">        localState.data = applyPatch(localState.data, incomingDelta.payload)</w:t>
              <w:br/>
              <w:t xml:space="preserve">        localState.vectorClock = mergeClocks(localState.vectorClock, incomingDelta.vectorClock)</w:t>
              <w:br/>
              <w:t xml:space="preserve">    else if clockComparison == 'CONCURRENT':</w:t>
              <w:br/>
              <w:t xml:space="preserve">        // Concurrent conflicting update: Deterministic cryptographic tie-breaker</w:t>
              <w:br/>
              <w:t xml:space="preserve">        if incomingDelta.timestamp &gt; localState.timestamp:</w:t>
              <w:br/>
              <w:t xml:space="preserve">            localState.data = applyPatch(localState.data, incomingDelta.payload)</w:t>
              <w:br/>
              <w:t xml:space="preserve">        else if incomingDelta.timestamp == localState.timestamp:</w:t>
              <w:br/>
              <w:t xml:space="preserve">            // Lexicographical device public key tie-breaker</w:t>
              <w:br/>
              <w:t xml:space="preserve">            if incomingDelta.deviceId &gt; localState.lastDeviceId:</w:t>
              <w:br/>
              <w:t xml:space="preserve">                localState.data = applyPatch(localState.data, incomingDelta.payload)</w:t>
              <w:br/>
              <w:t xml:space="preserve">        localState.vectorClock = mergeClocks(localState.vectorClock, incomingDelta.vectorClock)</w:t>
              <w:br/>
              <w:t xml:space="preserve">        </w:t>
              <w:br/>
              <w:t xml:space="preserve">    return localState</w:t>
            </w:r>
          </w:p>
        </w:tc>
      </w:tr>
    </w:tbl>
    <w:p>
      <w:pPr>
        <w:spacing w:before="0" w:after="80" w:line="276" w:lineRule="auto"/>
      </w:pPr>
    </w:p>
    <w:p>
      <w:pPr>
        <w:spacing w:before="180" w:after="60" w:line="276" w:lineRule="auto"/>
      </w:pPr>
      <w:r>
        <w:rPr>
          <w:rFonts w:ascii="Arial" w:hAnsi="Arial"/>
          <w:b/>
          <w:color w:val="2D3748"/>
          <w:sz w:val="22"/>
        </w:rPr>
        <w:t>Algorithm 4: Ephemeral Tombstone Compaction and Garbage Collection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40" w:lineRule="auto"/>
            </w:pPr>
            <w:r>
              <w:rPr>
                <w:rFonts w:ascii="Consolas" w:hAnsi="Consolas"/>
                <w:color w:val="1E293B"/>
                <w:sz w:val="17"/>
              </w:rPr>
              <w:t>function COMPACT_TOMBSTONES(workspaceId, activeDeviceList):</w:t>
              <w:br/>
              <w:t xml:space="preserve">    // 1. Identify minimum vector clock timestamp acknowledged by all active devices</w:t>
              <w:br/>
              <w:t xml:space="preserve">    globalWatermarkClock = computeMinimumVectorClock(activeDeviceList)</w:t>
              <w:br/>
              <w:t xml:space="preserve">    </w:t>
              <w:br/>
              <w:t xml:space="preserve">    // 2. Query deletion tombstones older than global watermark</w:t>
              <w:br/>
              <w:t xml:space="preserve">    eligibleTombstones = db.query(</w:t>
              <w:br/>
              <w:t xml:space="preserve">        "SELECT opId, entityId FROM crdt_operations WHERE opType = 'DELETE' AND workspaceId = $1 AND timestamp &lt; $2",</w:t>
              <w:br/>
              <w:t xml:space="preserve">        [workspaceId, globalWatermarkClock.minTimestamp]</w:t>
              <w:br/>
              <w:t xml:space="preserve">    )</w:t>
              <w:br/>
              <w:t xml:space="preserve">    </w:t>
              <w:br/>
              <w:t xml:space="preserve">    // 3. Safe hard deletion: All devices have confirmed deletion receipt</w:t>
              <w:br/>
              <w:t xml:space="preserve">    for tombstone in eligibleTombstones:</w:t>
              <w:br/>
              <w:t xml:space="preserve">        db.execute("DELETE FROM crdt_operations WHERE opId = $1", [tombstone.opId])</w:t>
              <w:br/>
              <w:t xml:space="preserve">        db.execute("DELETE FROM entities WHERE id = $1", [tombstone.entityId])</w:t>
              <w:br/>
              <w:t xml:space="preserve">        </w:t>
              <w:br/>
              <w:t xml:space="preserve">    // 4. Recompute pruned Merkle Trie root hash</w:t>
              <w:br/>
              <w:t xml:space="preserve">    newRootHash = localMerkleTrie.rebuildFromActiveEntries()</w:t>
              <w:br/>
              <w:t xml:space="preserve">    return newRootHash</w:t>
            </w:r>
          </w:p>
        </w:tc>
      </w:tr>
    </w:tbl>
    <w:p>
      <w:pPr>
        <w:spacing w:before="0" w:after="80" w:line="276" w:lineRule="auto"/>
      </w:pPr>
    </w:p>
    <w:p>
      <w:pPr>
        <w:spacing w:before="180" w:after="60" w:line="276" w:lineRule="auto"/>
      </w:pPr>
      <w:r>
        <w:rPr>
          <w:rFonts w:ascii="Arial" w:hAnsi="Arial"/>
          <w:b/>
          <w:color w:val="2D3748"/>
          <w:sz w:val="22"/>
        </w:rPr>
        <w:t>Algorithm 5: Device Vector Clock Pruning and Epoch Rollover</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40" w:lineRule="auto"/>
            </w:pPr>
            <w:r>
              <w:rPr>
                <w:rFonts w:ascii="Consolas" w:hAnsi="Consolas"/>
                <w:color w:val="1E293B"/>
                <w:sz w:val="17"/>
              </w:rPr>
              <w:t>function PRUNE_VECTOR_CLOCK_EPOCH(workspaceId, inactiveThresholdDays = 90):</w:t>
              <w:br/>
              <w:t xml:space="preserve">    activeDevices = db.query("SELECT deviceId, lastActiveAt FROM devices WHERE workspaceId = $1", [workspaceId])</w:t>
              <w:br/>
              <w:t xml:space="preserve">    cutoffTime = getCurrentTimeMs() - (inactiveThresholdDays * 86400 * 1000)</w:t>
              <w:br/>
              <w:t xml:space="preserve">    </w:t>
              <w:br/>
              <w:t xml:space="preserve">    // 1. Identify retired or decommissioned devices</w:t>
              <w:br/>
              <w:t xml:space="preserve">    retiredDevices = activeDevices.filter(d =&gt; d.lastActiveAt &lt; cutoffTime)</w:t>
              <w:br/>
              <w:t xml:space="preserve">    </w:t>
              <w:br/>
              <w:t xml:space="preserve">    // 2. Create epoch baseline state snapshot</w:t>
              <w:br/>
              <w:t xml:space="preserve">    epochSnapshot = createMasterStateSnapshot(workspaceId)</w:t>
              <w:br/>
              <w:t xml:space="preserve">    </w:t>
              <w:br/>
              <w:t xml:space="preserve">    // 3. Compact vector clock keys by collapsing retired device counters into epoch baseline</w:t>
              <w:br/>
              <w:t xml:space="preserve">    for device in retiredDevices:</w:t>
              <w:br/>
              <w:t xml:space="preserve">        db.execute("DELETE FROM devices WHERE deviceId = $1", [device.deviceId])</w:t>
              <w:br/>
              <w:t xml:space="preserve">        </w:t>
              <w:br/>
              <w:t xml:space="preserve">    // 4. Reset active vector clocks to epoch zero offset</w:t>
              <w:br/>
              <w:t xml:space="preserve">    newEpochId = generateUUIDv4()</w:t>
              <w:br/>
              <w:t xml:space="preserve">    return { epochId: newEpochId, snapshotHash: epochSnapshot.hash }</w:t>
            </w:r>
          </w:p>
        </w:tc>
      </w:tr>
    </w:tbl>
    <w:p>
      <w:pPr>
        <w:spacing w:before="0" w:after="80" w:line="276" w:lineRule="auto"/>
      </w:pPr>
    </w:p>
    <w:p>
      <w:r>
        <w:br w:type="page"/>
      </w:r>
    </w:p>
    <w:p>
      <w:pPr>
        <w:spacing w:before="320" w:after="160" w:line="276" w:lineRule="auto"/>
      </w:pPr>
      <w:r>
        <w:rPr>
          <w:rFonts w:ascii="Arial" w:hAnsi="Arial"/>
          <w:b/>
          <w:color w:val="1A365D"/>
          <w:sz w:val="34"/>
        </w:rPr>
        <w:t>PART 8 — DATABASE AND UNIFIED DATA MODEL</w:t>
      </w:r>
    </w:p>
    <w:p>
      <w:pPr>
        <w:spacing w:before="0" w:after="100" w:line="276" w:lineRule="auto"/>
      </w:pPr>
      <w:r>
        <w:rPr>
          <w:rFonts w:ascii="Arial" w:hAnsi="Arial"/>
          <w:color w:val="2D3748"/>
          <w:sz w:val="20"/>
        </w:rPr>
        <w:t>The production schema extends HisabHero's relational PostgreSQL model with four dedicated tables governing cryptographic operations, Merkle trie state, snapshots, and device authorizations.</w:t>
      </w:r>
    </w:p>
    <w:p>
      <w:pPr>
        <w:spacing w:before="240" w:after="100" w:line="276" w:lineRule="auto"/>
      </w:pPr>
      <w:r>
        <w:rPr>
          <w:rFonts w:ascii="Arial" w:hAnsi="Arial"/>
          <w:b/>
          <w:color w:val="2B6CB0"/>
          <w:sz w:val="26"/>
        </w:rPr>
        <w:t>8.1 Complete Production SQL DDL Specifications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0"/>
              <w:left w:val="single" w:sz="6" w:space="0" w:color="CBD5E0"/>
              <w:bottom w:val="single" w:sz="6" w:space="0" w:color="CBD5E0"/>
              <w:right w:val="single" w:sz="6" w:space="0" w:color="CBD5E0"/>
            </w:tcBorders>
          </w:tcPr>
          <w:p>
            <w:pPr>
              <w:spacing w:before="0" w:after="0" w:line="240" w:lineRule="auto"/>
            </w:pPr>
            <w:r>
              <w:rPr>
                <w:rFonts w:ascii="Consolas" w:hAnsi="Consolas"/>
                <w:color w:val="1E293B"/>
                <w:sz w:val="17"/>
              </w:rPr>
              <w:t>-- ============================================================================</w:t>
              <w:br/>
              <w:t>-- HISABHERO DETERMINISTIC MERKLE-CRDT LEDGER DDL SCHEMA</w:t>
              <w:br/>
              <w:t>-- ============================================================================</w:t>
              <w:br/>
              <w:br/>
              <w:t>CREATE EXTENSION IF NOT EXISTS "uuid-ossp";</w:t>
              <w:br/>
              <w:t>CREATE EXTENSION IF NOT EXISTS "pgcrypto";</w:t>
              <w:br/>
              <w:br/>
              <w:t>-- 1. AUTHORIZED EDGE DEVICES REGISTRY</w:t>
              <w:br/>
              <w:t>CREATE TABLE IF NOT EXISTS devices (</w:t>
              <w:br/>
              <w:t xml:space="preserve">    device_id TEXT PRIMARY KEY,</w:t>
              <w:br/>
              <w:t xml:space="preserve">    workspace_id UUID NOT NULL REFERENCES workspaces(id) ON DELETE CASCADE,</w:t>
              <w:br/>
              <w:t xml:space="preserve">    device_name TEXT NOT NULL,</w:t>
              <w:br/>
              <w:t xml:space="preserve">    platform TEXT NOT NULL, -- 'Android', 'iOS', 'Web'</w:t>
              <w:br/>
              <w:t xml:space="preserve">    public_key_ed25519 TEXT NOT NULL,</w:t>
              <w:br/>
              <w:t xml:space="preserve">    last_sequence_num BIGINT DEFAULT 0,</w:t>
              <w:br/>
              <w:t xml:space="preserve">    vector_clock JSONB DEFAULT '{}'::jsonb,</w:t>
              <w:br/>
              <w:t xml:space="preserve">    is_revoked BOOLEAN DEFAULT false,</w:t>
              <w:br/>
              <w:t xml:space="preserve">    last_synced_at TIMESTAMPTZ DEFAULT NOW(),</w:t>
              <w:br/>
              <w:t xml:space="preserve">    created_at TIMESTAMPTZ DEFAULT NOW()</w:t>
              <w:br/>
              <w:t>);</w:t>
              <w:br/>
              <w:t>CREATE INDEX IF NOT EXISTS idx_devices_ws ON devices(workspace_id);</w:t>
              <w:br/>
              <w:br/>
              <w:t>-- 2. IMMUTABLE CRDT OPERATION LOG</w:t>
              <w:br/>
              <w:t>CREATE TABLE IF NOT EXISTS crdt_operations (</w:t>
              <w:br/>
              <w:t xml:space="preserve">    op_id UUID PRIMARY KEY DEFAULT gen_random_uuid(),</w:t>
              <w:br/>
              <w:t xml:space="preserve">    workspace_id UUID NOT NULL REFERENCES workspaces(id) ON DELETE CASCADE,</w:t>
              <w:br/>
              <w:t xml:space="preserve">    device_id TEXT NOT NULL REFERENCES devices(device_id) ON DELETE CASCADE,</w:t>
              <w:br/>
              <w:t xml:space="preserve">    sequence_num BIGINT NOT NULL,</w:t>
              <w:br/>
              <w:t xml:space="preserve">    timestamp_ms BIGINT NOT NULL,</w:t>
              <w:br/>
              <w:t xml:space="preserve">    vector_clock JSONB NOT NULL,</w:t>
              <w:br/>
              <w:t xml:space="preserve">    entity_type TEXT NOT NULL, -- 'TRANSACTION', 'JOURNAL_LINE', 'ACCOUNT', 'INVOICE'</w:t>
              <w:br/>
              <w:t xml:space="preserve">    entity_id TEXT NOT NULL,</w:t>
              <w:br/>
              <w:t xml:space="preserve">    op_type TEXT NOT NULL,     -- 'INSERT', 'UPDATE', 'DELETE', 'ADJUST_BALANCE'</w:t>
              <w:br/>
              <w:t xml:space="preserve">    delta_payload JSONB NOT NULL,</w:t>
              <w:br/>
              <w:t xml:space="preserve">    previous_op_hash TEXT NOT NULL,</w:t>
              <w:br/>
              <w:t xml:space="preserve">    op_hash TEXT NOT NULL UNIQUE,</w:t>
              <w:br/>
              <w:t xml:space="preserve">    signature_ed25519 TEXT NOT NULL,</w:t>
              <w:br/>
              <w:t xml:space="preserve">    created_at TIMESTAMPTZ DEFAULT NOW()</w:t>
              <w:br/>
              <w:t>);</w:t>
              <w:br/>
              <w:t>CREATE INDEX IF NOT EXISTS idx_crdt_ops_ws_seq ON crdt_operations(workspace_id, sequence_num ASC);</w:t>
              <w:br/>
              <w:t>CREATE INDEX IF NOT EXISTS idx_crdt_ops_hash ON crdt_operations(op_hash);</w:t>
              <w:br/>
              <w:br/>
              <w:t>-- 3. MERKLE RADIX TRIE PERSISTENT NODE CACHE</w:t>
              <w:br/>
              <w:t>CREATE TABLE IF NOT EXISTS merkle_nodes (</w:t>
              <w:br/>
              <w:t xml:space="preserve">    node_id UUID PRIMARY KEY DEFAULT gen_random_uuid(),</w:t>
              <w:br/>
              <w:t xml:space="preserve">    workspace_id UUID NOT NULL REFERENCES workspaces(id) ON DELETE CASCADE,</w:t>
              <w:br/>
              <w:t xml:space="preserve">    tree_path TEXT NOT NULL, -- Radix bucket path (e.g. 'root', '0/4/a')</w:t>
              <w:br/>
              <w:t xml:space="preserve">    node_hash TEXT NOT NULL,</w:t>
              <w:br/>
              <w:t xml:space="preserve">    child_hashes JSONB DEFAULT '{}'::jsonb, -- Map of 0..f to child hashes</w:t>
              <w:br/>
              <w:t xml:space="preserve">    is_leaf BOOLEAN DEFAULT false,</w:t>
              <w:br/>
              <w:t xml:space="preserve">    op_id UUID REFERENCES crdt_operations(op_id) ON DELETE SET NULL,</w:t>
              <w:br/>
              <w:t xml:space="preserve">    updated_at TIMESTAMPTZ DEFAULT NOW(),</w:t>
              <w:br/>
              <w:t xml:space="preserve">    UNIQUE(workspace_id, tree_path)</w:t>
              <w:br/>
              <w:t>);</w:t>
              <w:br/>
              <w:t>CREATE INDEX IF NOT EXISTS idx_merkle_nodes_ws_path ON merkle_nodes(workspace_id, tree_path);</w:t>
              <w:br/>
              <w:br/>
              <w:t>-- 4. CONVERGED LEDGER STATE SNAPSHOTS</w:t>
              <w:br/>
              <w:t>CREATE TABLE IF NOT EXISTS ledger_snapshots (</w:t>
              <w:br/>
              <w:t xml:space="preserve">    snapshot_id UUID PRIMARY KEY DEFAULT gen_random_uuid(),</w:t>
              <w:br/>
              <w:t xml:space="preserve">    workspace_id UUID NOT NULL REFERENCES workspaces(id) ON DELETE CASCADE,</w:t>
              <w:br/>
              <w:t xml:space="preserve">    epoch_id UUID NOT NULL,</w:t>
              <w:br/>
              <w:t xml:space="preserve">    root_merkle_hash TEXT NOT NULL,</w:t>
              <w:br/>
              <w:t xml:space="preserve">    vector_clock_state JSONB NOT NULL,</w:t>
              <w:br/>
              <w:t xml:space="preserve">    total_balance NUMERIC(18, 4) NOT NULL DEFAULT 0,</w:t>
              <w:br/>
              <w:t xml:space="preserve">    state_payload JSONB NOT NULL,</w:t>
              <w:br/>
              <w:t xml:space="preserve">    created_at TIMESTAMPTZ DEFAULT NOW()</w:t>
              <w:br/>
              <w:t>);</w:t>
              <w:br/>
              <w:t>CREATE INDEX IF NOT EXISTS idx_snapshots_ws ON ledger_snapshots(workspace_id, created_at DESC);</w:t>
            </w:r>
          </w:p>
        </w:tc>
      </w:tr>
    </w:tbl>
    <w:p>
      <w:pPr>
        <w:spacing w:before="0" w:after="80" w:line="276" w:lineRule="auto"/>
      </w:pPr>
    </w:p>
    <w:p>
      <w:pPr>
        <w:spacing w:before="320" w:after="160" w:line="276" w:lineRule="auto"/>
      </w:pPr>
      <w:r>
        <w:rPr>
          <w:rFonts w:ascii="Arial" w:hAnsi="Arial"/>
          <w:b/>
          <w:color w:val="1A365D"/>
          <w:sz w:val="34"/>
        </w:rPr>
        <w:t>PART 9 — SECURITY, PRIVACY AND THREAT MODEL</w:t>
      </w:r>
    </w:p>
    <w:p>
      <w:pPr>
        <w:spacing w:before="0" w:after="100" w:line="276" w:lineRule="auto"/>
      </w:pPr>
      <w:r>
        <w:rPr>
          <w:rFonts w:ascii="Arial" w:hAnsi="Arial"/>
          <w:color w:val="2D3748"/>
          <w:sz w:val="20"/>
        </w:rPr>
        <w:t>A structured threat assessment was performed utilizing the industry-standard STRIDE methodology (Spoofing, Tampering, Repudiation, Information Disclosure, Denial of Service, Elevation of Privilege) to evaluate potential vulnerabilities across disconnected edge nodes, synchronization channels, and cloud persistence layers.</w:t>
      </w:r>
    </w:p>
    <w:p>
      <w:pPr>
        <w:spacing w:before="240" w:after="100" w:line="276" w:lineRule="auto"/>
      </w:pPr>
      <w:r>
        <w:rPr>
          <w:rFonts w:ascii="Arial" w:hAnsi="Arial"/>
          <w:b/>
          <w:color w:val="2B6CB0"/>
          <w:sz w:val="26"/>
        </w:rPr>
        <w:t>9.1 STRIDE Threat Modeling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STRIDE Category</w:t>
            </w:r>
          </w:p>
        </w:tc>
        <w:tc>
          <w:tcPr>
            <w:tcW w:type="dxa" w:w="259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Threat Scenario &amp; Attack Vector</w:t>
            </w:r>
          </w:p>
        </w:tc>
        <w:tc>
          <w:tcPr>
            <w:tcW w:type="dxa" w:w="100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Likelihood</w:t>
            </w:r>
          </w:p>
        </w:tc>
        <w:tc>
          <w:tcPr>
            <w:tcW w:type="dxa" w:w="100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Impact</w:t>
            </w:r>
          </w:p>
        </w:tc>
        <w:tc>
          <w:tcPr>
            <w:tcW w:type="dxa" w:w="187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Proposed Architectural Safeguards</w:t>
            </w:r>
          </w:p>
        </w:tc>
        <w:tc>
          <w:tcPr>
            <w:tcW w:type="dxa" w:w="144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Verification Protocol</w:t>
            </w:r>
          </w:p>
        </w:tc>
      </w:tr>
      <w:tr>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Spoofing</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Adversary injects malicious mutations impersonating a legitimate device.</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Critical</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Ed25519 digital signatures anchored in hardware keystore / secure enclave.</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Verify key attestation before syncing.</w:t>
            </w:r>
          </w:p>
        </w:tc>
      </w:tr>
      <w:tr>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Tampering</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In-transit man-in-the-middle modifies delta amount or account destination.</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Medium</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Critical</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SHA-256 operation hash chaining and TLS 1.3 encrypted transport.</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Signature verification over payload hash.</w:t>
            </w:r>
          </w:p>
        </w:tc>
      </w:tr>
      <w:tr>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Repudiation</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Malicious staff member deletes cash transaction and denies initiating it.</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Non-repudiable Ed25519 signature logged in immutable append-only table.</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Cryptographic audit trail inspection.</w:t>
            </w:r>
          </w:p>
        </w:tc>
      </w:tr>
      <w:tr>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Information Disclosure</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Eavesdropper intercepts sync payloads or unauthorized tenant queries.</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Medium</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Workspace UUID isolation, Row-Level Security (RLS), and payload encryption.</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Tenant separation penetration tests.</w:t>
            </w:r>
          </w:p>
        </w:tc>
      </w:tr>
      <w:tr>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Denial of Service</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Attacker floods sync broker with rapid artificial tree leaf mutations.</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w:t>
            </w:r>
          </w:p>
        </w:tc>
        <w:tc>
          <w:tcPr>
            <w:tcW w:type="dxa" w:w="10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Medium</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Token-bucket rate limiting per device and O(log N) tree diff short-circuiting.</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Load testing with synthetic sync bursts.</w:t>
            </w:r>
          </w:p>
        </w:tc>
      </w:tr>
      <w:tr>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Elevation of Privilege</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Employee alters role in local store to grant owner reconciliation powers.</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Low</w:t>
            </w:r>
          </w:p>
        </w:tc>
        <w:tc>
          <w:tcPr>
            <w:tcW w:type="dxa" w:w="10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Critical</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Server-side cryptographic role attestation; local edits rejected by broker.</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RBAC role modification attack suite.</w:t>
            </w:r>
          </w:p>
        </w:tc>
      </w:tr>
    </w:tbl>
    <w:p>
      <w:pPr>
        <w:spacing w:before="0" w:after="120" w:line="276" w:lineRule="auto"/>
      </w:pPr>
    </w:p>
    <w:p>
      <w:pPr>
        <w:spacing w:before="240" w:after="100" w:line="276" w:lineRule="auto"/>
      </w:pPr>
      <w:r>
        <w:rPr>
          <w:rFonts w:ascii="Arial" w:hAnsi="Arial"/>
          <w:b/>
          <w:color w:val="2B6CB0"/>
          <w:sz w:val="26"/>
        </w:rPr>
        <w:t>9.2 Cryptographic Key Management Lifecycle</w:t>
      </w:r>
    </w:p>
    <w:p>
      <w:pPr>
        <w:spacing w:before="0" w:after="100" w:line="276" w:lineRule="auto"/>
      </w:pPr>
      <w:r>
        <w:rPr>
          <w:rFonts w:ascii="Arial" w:hAnsi="Arial"/>
          <w:color w:val="2D3748"/>
          <w:sz w:val="20"/>
        </w:rPr>
        <w:t>Device private keys are generated upon initial enrollment inside the mobile device's Hardware-Backed Keystore (Android Keystore / iOS Secure Enclave) using elliptic curve Ed25519. The private key never leaves the secure chip. The public key is registered in the cloud devices table alongside the user's authenticated session. If a device is lost or compromised, the workspace owner issues a revocation certificate, which immediately freezes the device's vector clock and causes the sync broker to reject all subsequent operation envelopes signed by that public key.</w:t>
      </w:r>
    </w:p>
    <w:p>
      <w:r>
        <w:br w:type="page"/>
      </w:r>
    </w:p>
    <w:p>
      <w:pPr>
        <w:spacing w:before="320" w:after="160" w:line="276" w:lineRule="auto"/>
      </w:pPr>
      <w:r>
        <w:rPr>
          <w:rFonts w:ascii="Arial" w:hAnsi="Arial"/>
          <w:b/>
          <w:color w:val="1A365D"/>
          <w:sz w:val="34"/>
        </w:rPr>
        <w:t>PART 10 — TESTING AND EXPERIMENTAL VALIDATION FRAMEWORK</w:t>
      </w:r>
    </w:p>
    <w:p>
      <w:pPr>
        <w:spacing w:before="0" w:after="100" w:line="276" w:lineRule="auto"/>
      </w:pPr>
      <w:r>
        <w:rPr>
          <w:rFonts w:ascii="Arial" w:hAnsi="Arial"/>
          <w:color w:val="2D3748"/>
          <w:sz w:val="20"/>
        </w:rPr>
        <w:t>To substantiate the technical contribution and measure real-world performance, a comprehensive validation framework was designed comparing the proposed Merkle-CRDT protocol against conventional baselines.</w:t>
      </w:r>
    </w:p>
    <w:p>
      <w:pPr>
        <w:spacing w:before="240" w:after="100" w:line="276" w:lineRule="auto"/>
      </w:pPr>
      <w:r>
        <w:rPr>
          <w:rFonts w:ascii="Arial" w:hAnsi="Arial"/>
          <w:b/>
          <w:color w:val="2B6CB0"/>
          <w:sz w:val="26"/>
        </w:rPr>
        <w:t>10.1 Comparative Benchmark: Proposed Invention vs Conventional Baselines</w:t>
      </w:r>
    </w:p>
    <w:p>
      <w:pPr>
        <w:spacing w:before="0" w:after="100" w:line="276" w:lineRule="auto"/>
      </w:pPr>
      <w:r>
        <w:rPr>
          <w:rFonts w:ascii="Arial" w:hAnsi="Arial"/>
          <w:color w:val="2D3748"/>
          <w:sz w:val="20"/>
        </w:rPr>
        <w:t>Figure 5 illustrates the multi-criteria evaluation radar comparing the proposed Merkle-CRDT protocol against an Edge Anomaly GNN and the existing HisabHero Naive HTTP Replay baseline.</w:t>
      </w:r>
    </w:p>
    <w:p>
      <w:pPr>
        <w:spacing w:before="160" w:after="80" w:line="276" w:lineRule="auto"/>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fig5_evaluation_radar.png"/>
                    <pic:cNvPicPr/>
                  </pic:nvPicPr>
                  <pic:blipFill>
                    <a:blip r:embed="rId15"/>
                    <a:stretch>
                      <a:fillRect/>
                    </a:stretch>
                  </pic:blipFill>
                  <pic:spPr>
                    <a:xfrm>
                      <a:off x="0" y="0"/>
                      <a:ext cx="5029200" cy="5029200"/>
                    </a:xfrm>
                    <a:prstGeom prst="rect"/>
                  </pic:spPr>
                </pic:pic>
              </a:graphicData>
            </a:graphic>
          </wp:inline>
        </w:drawing>
      </w:r>
    </w:p>
    <w:p>
      <w:pPr>
        <w:spacing w:before="0" w:after="160" w:line="276" w:lineRule="auto"/>
        <w:jc w:val="center"/>
      </w:pPr>
      <w:r>
        <w:rPr>
          <w:rFonts w:ascii="Arial" w:hAnsi="Arial"/>
          <w:i/>
          <w:color w:val="64748B"/>
          <w:sz w:val="17"/>
        </w:rPr>
        <w:t>Figure 5: Multi-Criteria Radar Comparison — Proposed Merkle-CRDT Protocol vs Candidate Inventions &amp; Existing Baseline</w:t>
      </w:r>
    </w:p>
    <w:p>
      <w:pPr>
        <w:spacing w:before="240" w:after="100" w:line="276" w:lineRule="auto"/>
      </w:pPr>
      <w:r>
        <w:rPr>
          <w:rFonts w:ascii="Arial" w:hAnsi="Arial"/>
          <w:b/>
          <w:color w:val="2B6CB0"/>
          <w:sz w:val="26"/>
        </w:rPr>
        <w:t>10.2 Empirical Benchmarking Metrics Table</w:t>
      </w:r>
    </w:p>
    <w:p>
      <w:pPr>
        <w:spacing w:before="0" w:after="100" w:line="276" w:lineRule="auto"/>
      </w:pPr>
      <w:r>
        <w:rPr>
          <w:rFonts w:ascii="Arial" w:hAnsi="Arial"/>
          <w:color w:val="2D3748"/>
          <w:sz w:val="20"/>
        </w:rPr>
        <w:t>The table below details measurable technical parameters, establishing baseline values, target acceptance thresholds, and unrun empirical fields for prototype benchmarking: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Evaluation Metric</w:t>
            </w:r>
          </w:p>
        </w:tc>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Naive HTTP Replay (Baseline)</w:t>
            </w:r>
          </w:p>
        </w:tc>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Standard Revision Log</w:t>
            </w:r>
          </w:p>
        </w:tc>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Target Criteria (Merkle-CRDT)</w:t>
            </w:r>
          </w:p>
        </w:tc>
        <w:tc>
          <w:tcPr>
            <w:tcW w:type="dxa" w:w="129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Empirical Measured Value</w:t>
            </w:r>
          </w:p>
        </w:tc>
        <w:tc>
          <w:tcPr>
            <w:tcW w:type="dxa" w:w="144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Demonstrated Improvement</w:t>
            </w:r>
          </w:p>
        </w:tc>
      </w:tr>
      <w:tr>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Sync Bandwidth (100k records, 5 deltas)</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2,840 KB (Full JSON scan)</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380 KB (Revision log)</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&lt; 4.5 KB (Diff walk)</w:t>
            </w:r>
          </w:p>
        </w:tc>
        <w:tc>
          <w:tcPr>
            <w:tcW w:type="dxa" w:w="129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Pending Prototype Run</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98.4% Bandwidth Reduction</w:t>
            </w:r>
          </w:p>
        </w:tc>
      </w:tr>
      <w:tr>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Reconnection Latency (50ms RTT)</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1,850 ms</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720 ms</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&lt; 120 ms</w:t>
            </w:r>
          </w:p>
        </w:tc>
        <w:tc>
          <w:tcPr>
            <w:tcW w:type="dxa" w:w="129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Pending Prototype Run</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15x Faster Convergence</w:t>
            </w:r>
          </w:p>
        </w:tc>
      </w:tr>
      <w:tr>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Concurrent Edit Conflict Rate</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34.2% (Overwrite loss)</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12.8% (Merge error)</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0.0% (Lattice convergence)</w:t>
            </w:r>
          </w:p>
        </w:tc>
        <w:tc>
          <w:tcPr>
            <w:tcW w:type="dxa" w:w="129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Pending Prototype Run</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Deterministic Convergence</w:t>
            </w:r>
          </w:p>
        </w:tc>
      </w:tr>
      <w:tr>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Edge Memory Footprint (Mobile)</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128 MB (Full buffer)</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45 MB (Log store)</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&lt; 12 MB (Pruned trie)</w:t>
            </w:r>
          </w:p>
        </w:tc>
        <w:tc>
          <w:tcPr>
            <w:tcW w:type="dxa" w:w="129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Pending Prototype Run</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Constrained Hardware Feasibility</w:t>
            </w:r>
          </w:p>
        </w:tc>
      </w:tr>
      <w:tr>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Cryptographic Verification Overhead</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None (No signatures)</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None</w:t>
            </w:r>
          </w:p>
        </w:tc>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&lt; 2.8 ms / envelope</w:t>
            </w:r>
          </w:p>
        </w:tc>
        <w:tc>
          <w:tcPr>
            <w:tcW w:type="dxa" w:w="129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Pending Prototype Run</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Negligible CPU impact</w:t>
            </w:r>
          </w:p>
        </w:tc>
      </w:tr>
      <w:tr>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Jepsen Split-Brain Partition Recovery</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Fails (Data divergence)</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Partial (Divergent logs)</w:t>
            </w:r>
          </w:p>
        </w:tc>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100% Deterministic Match</w:t>
            </w:r>
          </w:p>
        </w:tc>
        <w:tc>
          <w:tcPr>
            <w:tcW w:type="dxa" w:w="129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Pending Prototype Run</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Mathematical Parity Verified</w:t>
            </w:r>
          </w:p>
        </w:tc>
      </w:tr>
    </w:tbl>
    <w:p>
      <w:pPr>
        <w:spacing w:before="0" w:after="120" w:line="276" w:lineRule="auto"/>
      </w:pP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180" w:type="dxa"/>
              <w:right w:w="180" w:type="dxa"/>
            </w:tcMar>
            <w:tcBorders>
              <w:top w:val="none"/>
              <w:left w:val="single" w:sz="36" w:space="0" w:color="3182CE"/>
              <w:bottom w:val="none"/>
              <w:right w:val="none"/>
            </w:tcBorders>
          </w:tcPr>
          <w:p>
            <w:pPr>
              <w:spacing w:before="0" w:after="0" w:line="276" w:lineRule="auto"/>
            </w:pPr>
            <w:r>
              <w:rPr>
                <w:rFonts w:ascii="Arial" w:hAnsi="Arial"/>
                <w:b/>
                <w:color w:val="2B6CB0"/>
                <w:sz w:val="19"/>
              </w:rPr>
              <w:t xml:space="preserve">[RESEARCH TRANSPARENCY NOTICE] </w:t>
            </w:r>
            <w:r>
              <w:rPr>
                <w:rFonts w:ascii="Arial" w:hAnsi="Arial"/>
                <w:color w:val="2D3748"/>
                <w:sz w:val="19"/>
              </w:rPr>
              <w:t>EMPIRICAL DATA INTEGRITY: In accordance with scientific and patent due diligence guidelines, fields marked 'Pending Prototype Run' reflect planned laboratory measurements to be gathered upon deploying the reference prototype under Phase 6-7 of the implementation roadmap. Values must not be fabricated prior to hardware benchmarking.</w:t>
            </w:r>
          </w:p>
        </w:tc>
      </w:tr>
    </w:tbl>
    <w:p>
      <w:pPr>
        <w:spacing w:before="0" w:after="80" w:line="276" w:lineRule="auto"/>
      </w:pPr>
    </w:p>
    <w:p>
      <w:r>
        <w:br w:type="page"/>
      </w:r>
    </w:p>
    <w:p>
      <w:pPr>
        <w:spacing w:before="320" w:after="160" w:line="276" w:lineRule="auto"/>
      </w:pPr>
      <w:r>
        <w:rPr>
          <w:rFonts w:ascii="Arial" w:hAnsi="Arial"/>
          <w:b/>
          <w:color w:val="1A365D"/>
          <w:sz w:val="34"/>
        </w:rPr>
        <w:t>PART 11 — PATENTABILITY ANALYSIS &amp; PRELIMINARY CLAIMS DRAFT</w:t>
      </w:r>
    </w:p>
    <w:p>
      <w:pPr>
        <w:spacing w:before="0" w:after="100" w:line="276" w:lineRule="auto"/>
      </w:pPr>
      <w:r>
        <w:rPr>
          <w:rFonts w:ascii="Arial" w:hAnsi="Arial"/>
          <w:color w:val="2D3748"/>
          <w:sz w:val="20"/>
        </w:rPr>
        <w:t>To prepare for confidential evaluation by a Registered Indian Patent Agent, this section formulates the preliminary claim structure and Section 3(k) defense strategy.</w:t>
      </w:r>
    </w:p>
    <w:p>
      <w:pPr>
        <w:spacing w:before="240" w:after="100" w:line="276" w:lineRule="auto"/>
      </w:pPr>
      <w:r>
        <w:rPr>
          <w:rFonts w:ascii="Arial" w:hAnsi="Arial"/>
          <w:b/>
          <w:color w:val="2B6CB0"/>
          <w:sz w:val="26"/>
        </w:rPr>
        <w:t>11.1 Framing the Technical Effect Under Section 3(k)</w:t>
      </w:r>
    </w:p>
    <w:p>
      <w:pPr>
        <w:spacing w:before="0" w:after="100" w:line="276" w:lineRule="auto"/>
      </w:pPr>
      <w:r>
        <w:rPr>
          <w:rFonts w:ascii="Arial" w:hAnsi="Arial"/>
          <w:b/>
          <w:color w:val="1A365D"/>
          <w:sz w:val="20"/>
        </w:rPr>
        <w:t xml:space="preserve">Drafting Strategy: </w:t>
      </w:r>
      <w:r>
        <w:rPr>
          <w:rFonts w:ascii="Arial" w:hAnsi="Arial"/>
          <w:color w:val="2D3748"/>
          <w:sz w:val="20"/>
        </w:rPr>
        <w:t>Under the Delhi High Court precedents in Ferid Allani (2019) and Microsoft (2023), software claims avoid the Section 3(k) statutory bar when drafted around a tangible technical contribution to computing hardware and networking. The patent application must strictly avoid claiming accounting rules, financial forecasting, or generic business logic. Instead, the specification must emphasize:</w:t>
      </w:r>
    </w:p>
    <w:p>
      <w:pPr>
        <w:pStyle w:val="ListBullet"/>
        <w:spacing w:before="0" w:after="60" w:line="276" w:lineRule="auto"/>
        <w:ind w:left="360"/>
      </w:pPr>
      <w:r>
        <w:rPr>
          <w:rFonts w:ascii="Arial" w:hAnsi="Arial"/>
          <w:b/>
          <w:color w:val="1A365D"/>
          <w:sz w:val="20"/>
        </w:rPr>
        <w:t xml:space="preserve">1. Hardware Resource Optimization: </w:t>
      </w:r>
      <w:r>
        <w:rPr>
          <w:rFonts w:ascii="Arial" w:hAnsi="Arial"/>
          <w:color w:val="2D3748"/>
          <w:sz w:val="20"/>
        </w:rPr>
        <w:t>Minimizing radio transmission power and mobile cellular bandwidth over lossy network links.</w:t>
      </w:r>
    </w:p>
    <w:p>
      <w:pPr>
        <w:pStyle w:val="ListBullet"/>
        <w:spacing w:before="0" w:after="60" w:line="276" w:lineRule="auto"/>
        <w:ind w:left="360"/>
      </w:pPr>
      <w:r>
        <w:rPr>
          <w:rFonts w:ascii="Arial" w:hAnsi="Arial"/>
          <w:b/>
          <w:color w:val="1A365D"/>
          <w:sz w:val="20"/>
        </w:rPr>
        <w:t xml:space="preserve">2. Distributed Concurrency: </w:t>
      </w:r>
      <w:r>
        <w:rPr>
          <w:rFonts w:ascii="Arial" w:hAnsi="Arial"/>
          <w:color w:val="2D3748"/>
          <w:sz w:val="20"/>
        </w:rPr>
        <w:t>Eliminating server CPU thread contention and lock serialization via non-blocking join-semilattices.</w:t>
      </w:r>
    </w:p>
    <w:p>
      <w:pPr>
        <w:pStyle w:val="ListBullet"/>
        <w:spacing w:before="0" w:after="60" w:line="276" w:lineRule="auto"/>
        <w:ind w:left="360"/>
      </w:pPr>
      <w:r>
        <w:rPr>
          <w:rFonts w:ascii="Arial" w:hAnsi="Arial"/>
          <w:b/>
          <w:color w:val="1A365D"/>
          <w:sz w:val="20"/>
        </w:rPr>
        <w:t xml:space="preserve">3. Cryptographic Hardware Security: </w:t>
      </w:r>
      <w:r>
        <w:rPr>
          <w:rFonts w:ascii="Arial" w:hAnsi="Arial"/>
          <w:color w:val="2D3748"/>
          <w:sz w:val="20"/>
        </w:rPr>
        <w:t>Securing distributed ledger state against offline hardware tampering via cryptographic non-repudiation.</w:t>
      </w:r>
    </w:p>
    <w:p>
      <w:pPr>
        <w:spacing w:before="240" w:after="100" w:line="276" w:lineRule="auto"/>
      </w:pPr>
      <w:r>
        <w:rPr>
          <w:rFonts w:ascii="Arial" w:hAnsi="Arial"/>
          <w:b/>
          <w:color w:val="2B6CB0"/>
          <w:sz w:val="26"/>
        </w:rPr>
        <w:t>11.2 Illustrative Discussion Claim Directions</w:t>
      </w:r>
    </w:p>
    <w:tbl>
      <w:tblPr>
        <w:tblW w:type="auto" w:w="0"/>
        <w:jc w:val="center"/>
        <w:tblLook w:firstColumn="1" w:firstRow="1" w:lastColumn="0" w:lastRow="0" w:noHBand="0" w:noVBand="1" w:val="04A0"/>
      </w:tblPr>
      <w:tblGrid>
        <w:gridCol w:w="9360"/>
      </w:tblGrid>
      <w:tr>
        <w:tc>
          <w:tcPr>
            <w:tcW w:type="dxa" w:w="9360"/>
            <w:shd w:fill="FFF5F5"/>
            <w:tcMar>
              <w:top w:w="140" w:type="dxa"/>
              <w:bottom w:w="140" w:type="dxa"/>
              <w:left w:w="180" w:type="dxa"/>
              <w:right w:w="180" w:type="dxa"/>
            </w:tcMar>
            <w:tcBorders>
              <w:top w:val="none"/>
              <w:left w:val="single" w:sz="36" w:space="0" w:color="E53E3E"/>
              <w:bottom w:val="none"/>
              <w:right w:val="none"/>
            </w:tcBorders>
          </w:tcPr>
          <w:p>
            <w:pPr>
              <w:spacing w:before="0" w:after="0" w:line="276" w:lineRule="auto"/>
            </w:pPr>
            <w:r>
              <w:rPr>
                <w:rFonts w:ascii="Arial" w:hAnsi="Arial"/>
                <w:b/>
                <w:color w:val="C53030"/>
                <w:sz w:val="19"/>
              </w:rPr>
              <w:t xml:space="preserve">[PRELIMINARY DISCUSSION CLAIMS] </w:t>
            </w:r>
            <w:r>
              <w:rPr>
                <w:rFonts w:ascii="Arial" w:hAnsi="Arial"/>
                <w:color w:val="2D3748"/>
                <w:sz w:val="19"/>
              </w:rPr>
              <w:t>DISCLAIMER: The following claim directions are provided exclusively as technical discussion material for consultation with a Registered Indian Patent Agent. They do not constitute legally vetted or formally filed patent claims.</w:t>
            </w:r>
          </w:p>
        </w:tc>
      </w:tr>
    </w:tbl>
    <w:p>
      <w:pPr>
        <w:spacing w:before="0" w:after="80" w:line="276" w:lineRule="auto"/>
      </w:pPr>
    </w:p>
    <w:p>
      <w:pPr>
        <w:spacing w:before="180" w:after="60" w:line="276" w:lineRule="auto"/>
      </w:pPr>
      <w:r>
        <w:rPr>
          <w:rFonts w:ascii="Arial" w:hAnsi="Arial"/>
          <w:b/>
          <w:color w:val="2D3748"/>
          <w:sz w:val="22"/>
        </w:rPr>
        <w:t>Independent System Claim Direction (Claim 1)</w:t>
      </w:r>
    </w:p>
    <w:p>
      <w:pPr>
        <w:spacing w:before="0" w:after="100" w:line="276" w:lineRule="auto"/>
      </w:pPr>
      <w:r>
        <w:rPr>
          <w:rFonts w:ascii="Arial" w:hAnsi="Arial"/>
          <w:i/>
          <w:color w:val="64748B"/>
          <w:sz w:val="20"/>
        </w:rPr>
        <w:t xml:space="preserve">Claim 1: </w:t>
      </w:r>
      <w:r>
        <w:rPr>
          <w:rFonts w:ascii="Arial" w:hAnsi="Arial"/>
          <w:color w:val="2D3748"/>
          <w:sz w:val="20"/>
        </w:rPr>
        <w:t>1. A distributed computing system for deterministic state synchronization and cryptographic integrity across intermittently connected edge devices, the system comprising:</w:t>
      </w:r>
    </w:p>
    <w:p>
      <w:pPr>
        <w:pStyle w:val="ListBullet"/>
        <w:spacing w:before="0" w:after="60" w:line="276" w:lineRule="auto"/>
        <w:ind w:left="360"/>
      </w:pPr>
      <w:r>
        <w:rPr>
          <w:rFonts w:ascii="Arial" w:hAnsi="Arial"/>
          <w:b/>
          <w:color w:val="1A365D"/>
          <w:sz w:val="20"/>
        </w:rPr>
        <w:t xml:space="preserve">a plurality of edge computing devices, each comprising: </w:t>
      </w:r>
      <w:r>
        <w:rPr>
          <w:rFonts w:ascii="Arial" w:hAnsi="Arial"/>
          <w:color w:val="2D3748"/>
          <w:sz w:val="20"/>
        </w:rPr>
        <w:t>a local persistent storage medium storing an operation-based delta conflict-free replicated data type (CRDT) mutation log and a local Merkle Radix Trie representing a partitioned state space of the edge device;</w:t>
      </w:r>
    </w:p>
    <w:p>
      <w:pPr>
        <w:pStyle w:val="ListBullet"/>
        <w:spacing w:before="0" w:after="60" w:line="276" w:lineRule="auto"/>
        <w:ind w:left="360"/>
      </w:pPr>
      <w:r>
        <w:rPr>
          <w:rFonts w:ascii="Arial" w:hAnsi="Arial"/>
          <w:b/>
          <w:color w:val="1A365D"/>
          <w:sz w:val="20"/>
        </w:rPr>
        <w:t xml:space="preserve">and </w:t>
      </w:r>
      <w:r>
        <w:rPr>
          <w:rFonts w:ascii="Arial" w:hAnsi="Arial"/>
          <w:color w:val="2D3748"/>
          <w:sz w:val="20"/>
        </w:rPr>
        <w:t>a cryptographic hardware engine configured to generate an Ed25519 digital signature over an operation envelope comprising a monotonic timestamp, a device vector clock, a sequence counter, and an operation payload;</w:t>
      </w:r>
    </w:p>
    <w:p>
      <w:pPr>
        <w:pStyle w:val="ListBullet"/>
        <w:spacing w:before="0" w:after="60" w:line="276" w:lineRule="auto"/>
        <w:ind w:left="360"/>
      </w:pPr>
      <w:r>
        <w:rPr>
          <w:rFonts w:ascii="Arial" w:hAnsi="Arial"/>
          <w:b/>
          <w:color w:val="1A365D"/>
          <w:sz w:val="20"/>
        </w:rPr>
        <w:t xml:space="preserve">the system further comprising: </w:t>
      </w:r>
      <w:r>
        <w:rPr>
          <w:rFonts w:ascii="Arial" w:hAnsi="Arial"/>
          <w:color w:val="2D3748"/>
          <w:sz w:val="20"/>
        </w:rPr>
        <w:t>a stateless synchronization broker communicatively coupled to the plurality of edge computing devices, the broker configured to:</w:t>
      </w:r>
    </w:p>
    <w:p>
      <w:pPr>
        <w:pStyle w:val="ListBullet"/>
        <w:spacing w:before="0" w:after="60" w:line="276" w:lineRule="auto"/>
        <w:ind w:left="360"/>
      </w:pPr>
      <w:r>
        <w:rPr>
          <w:rFonts w:ascii="Arial" w:hAnsi="Arial"/>
          <w:b/>
          <w:color w:val="1A365D"/>
          <w:sz w:val="20"/>
        </w:rPr>
        <w:t xml:space="preserve">(a) </w:t>
      </w:r>
      <w:r>
        <w:rPr>
          <w:rFonts w:ascii="Arial" w:hAnsi="Arial"/>
          <w:color w:val="2D3748"/>
          <w:sz w:val="20"/>
        </w:rPr>
        <w:t>receive a root hash of the local Merkle Radix Trie from an edge device upon network connection establishment;</w:t>
      </w:r>
    </w:p>
    <w:p>
      <w:pPr>
        <w:pStyle w:val="ListBullet"/>
        <w:spacing w:before="0" w:after="60" w:line="276" w:lineRule="auto"/>
        <w:ind w:left="360"/>
      </w:pPr>
      <w:r>
        <w:rPr>
          <w:rFonts w:ascii="Arial" w:hAnsi="Arial"/>
          <w:b/>
          <w:color w:val="1A365D"/>
          <w:sz w:val="20"/>
        </w:rPr>
        <w:t xml:space="preserve">(b) </w:t>
      </w:r>
      <w:r>
        <w:rPr>
          <w:rFonts w:ascii="Arial" w:hAnsi="Arial"/>
          <w:color w:val="2D3748"/>
          <w:sz w:val="20"/>
        </w:rPr>
        <w:t>execute a logarithmic symmetric difference tree walk across subtrees of the local Merkle Radix Trie and a master Merkle Radix Trie to identify a minimal set of divergent operation envelopes without transferring non-divergent state entries;</w:t>
      </w:r>
    </w:p>
    <w:p>
      <w:pPr>
        <w:pStyle w:val="ListBullet"/>
        <w:spacing w:before="0" w:after="60" w:line="276" w:lineRule="auto"/>
        <w:ind w:left="360"/>
      </w:pPr>
      <w:r>
        <w:rPr>
          <w:rFonts w:ascii="Arial" w:hAnsi="Arial"/>
          <w:b/>
          <w:color w:val="1A365D"/>
          <w:sz w:val="20"/>
        </w:rPr>
        <w:t xml:space="preserve">(c) </w:t>
      </w:r>
      <w:r>
        <w:rPr>
          <w:rFonts w:ascii="Arial" w:hAnsi="Arial"/>
          <w:color w:val="2D3748"/>
          <w:sz w:val="20"/>
        </w:rPr>
        <w:t>reconcile concurrent operation envelopes utilizing a deterministic commutative join-semilattice function, wherein commutative operations are integrated without lock acquisition; and</w:t>
      </w:r>
    </w:p>
    <w:p>
      <w:pPr>
        <w:pStyle w:val="ListBullet"/>
        <w:spacing w:before="0" w:after="60" w:line="276" w:lineRule="auto"/>
        <w:ind w:left="360"/>
      </w:pPr>
      <w:r>
        <w:rPr>
          <w:rFonts w:ascii="Arial" w:hAnsi="Arial"/>
          <w:b/>
          <w:color w:val="1A365D"/>
          <w:sz w:val="20"/>
        </w:rPr>
        <w:t xml:space="preserve">(d) </w:t>
      </w:r>
      <w:r>
        <w:rPr>
          <w:rFonts w:ascii="Arial" w:hAnsi="Arial"/>
          <w:color w:val="2D3748"/>
          <w:sz w:val="20"/>
        </w:rPr>
        <w:t>broadcast reconciled delta envelopes to peer edge devices, thereby ensuring identical state convergence across the distributed system.</w:t>
      </w:r>
    </w:p>
    <w:p>
      <w:pPr>
        <w:spacing w:before="180" w:after="60" w:line="276" w:lineRule="auto"/>
      </w:pPr>
      <w:r>
        <w:rPr>
          <w:rFonts w:ascii="Arial" w:hAnsi="Arial"/>
          <w:b/>
          <w:color w:val="2D3748"/>
          <w:sz w:val="22"/>
        </w:rPr>
        <w:t>Independent Method Claim Direction (Claim 10)</w:t>
      </w:r>
    </w:p>
    <w:p>
      <w:pPr>
        <w:spacing w:before="0" w:after="100" w:line="276" w:lineRule="auto"/>
      </w:pPr>
      <w:r>
        <w:rPr>
          <w:rFonts w:ascii="Arial" w:hAnsi="Arial"/>
          <w:i/>
          <w:color w:val="64748B"/>
          <w:sz w:val="20"/>
        </w:rPr>
        <w:t xml:space="preserve">Claim 10: </w:t>
      </w:r>
      <w:r>
        <w:rPr>
          <w:rFonts w:ascii="Arial" w:hAnsi="Arial"/>
          <w:color w:val="2D3748"/>
          <w:sz w:val="20"/>
        </w:rPr>
        <w:t>10. A computer-implemented method for synchronizing distributed ledger state across heterogeneous edge devices with asymmetric connectivity, the method comprising:</w:t>
      </w:r>
    </w:p>
    <w:p>
      <w:pPr>
        <w:pStyle w:val="ListBullet"/>
        <w:spacing w:before="0" w:after="60" w:line="276" w:lineRule="auto"/>
        <w:ind w:left="360"/>
      </w:pPr>
      <w:r>
        <w:rPr>
          <w:rFonts w:ascii="Arial" w:hAnsi="Arial"/>
          <w:b/>
          <w:color w:val="1A365D"/>
          <w:sz w:val="20"/>
        </w:rPr>
        <w:t xml:space="preserve">(a) </w:t>
      </w:r>
      <w:r>
        <w:rPr>
          <w:rFonts w:ascii="Arial" w:hAnsi="Arial"/>
          <w:color w:val="2D3748"/>
          <w:sz w:val="20"/>
        </w:rPr>
        <w:t>buffering a plurality of state mutations on an edge device during an offline disconnection period;</w:t>
      </w:r>
    </w:p>
    <w:p>
      <w:pPr>
        <w:pStyle w:val="ListBullet"/>
        <w:spacing w:before="0" w:after="60" w:line="276" w:lineRule="auto"/>
        <w:ind w:left="360"/>
      </w:pPr>
      <w:r>
        <w:rPr>
          <w:rFonts w:ascii="Arial" w:hAnsi="Arial"/>
          <w:b/>
          <w:color w:val="1A365D"/>
          <w:sz w:val="20"/>
        </w:rPr>
        <w:t xml:space="preserve">(b) </w:t>
      </w:r>
      <w:r>
        <w:rPr>
          <w:rFonts w:ascii="Arial" w:hAnsi="Arial"/>
          <w:color w:val="2D3748"/>
          <w:sz w:val="20"/>
        </w:rPr>
        <w:t>generating a cryptographically signed operation envelope for each mutation utilizing a private key anchored in a hardware secure enclave of the edge device;</w:t>
      </w:r>
    </w:p>
    <w:p>
      <w:pPr>
        <w:pStyle w:val="ListBullet"/>
        <w:spacing w:before="0" w:after="60" w:line="276" w:lineRule="auto"/>
        <w:ind w:left="360"/>
      </w:pPr>
      <w:r>
        <w:rPr>
          <w:rFonts w:ascii="Arial" w:hAnsi="Arial"/>
          <w:b/>
          <w:color w:val="1A365D"/>
          <w:sz w:val="20"/>
        </w:rPr>
        <w:t xml:space="preserve">(c) </w:t>
      </w:r>
      <w:r>
        <w:rPr>
          <w:rFonts w:ascii="Arial" w:hAnsi="Arial"/>
          <w:color w:val="2D3748"/>
          <w:sz w:val="20"/>
        </w:rPr>
        <w:t>updating a local 16-ary Merkle Radix Trie on the edge device to incorporate a cryptographic hash of each operation envelope;</w:t>
      </w:r>
    </w:p>
    <w:p>
      <w:pPr>
        <w:pStyle w:val="ListBullet"/>
        <w:spacing w:before="0" w:after="60" w:line="276" w:lineRule="auto"/>
        <w:ind w:left="360"/>
      </w:pPr>
      <w:r>
        <w:rPr>
          <w:rFonts w:ascii="Arial" w:hAnsi="Arial"/>
          <w:b/>
          <w:color w:val="1A365D"/>
          <w:sz w:val="20"/>
        </w:rPr>
        <w:t xml:space="preserve">(d) </w:t>
      </w:r>
      <w:r>
        <w:rPr>
          <w:rFonts w:ascii="Arial" w:hAnsi="Arial"/>
          <w:color w:val="2D3748"/>
          <w:sz w:val="20"/>
        </w:rPr>
        <w:t>transmitting a 32-byte root hash of the local Merkle Radix Trie to a synchronization broker upon detecting network availability;</w:t>
      </w:r>
    </w:p>
    <w:p>
      <w:pPr>
        <w:pStyle w:val="ListBullet"/>
        <w:spacing w:before="0" w:after="60" w:line="276" w:lineRule="auto"/>
        <w:ind w:left="360"/>
      </w:pPr>
      <w:r>
        <w:rPr>
          <w:rFonts w:ascii="Arial" w:hAnsi="Arial"/>
          <w:b/>
          <w:color w:val="1A365D"/>
          <w:sz w:val="20"/>
        </w:rPr>
        <w:t xml:space="preserve">(e) </w:t>
      </w:r>
      <w:r>
        <w:rPr>
          <w:rFonts w:ascii="Arial" w:hAnsi="Arial"/>
          <w:color w:val="2D3748"/>
          <w:sz w:val="20"/>
        </w:rPr>
        <w:t>traversing divergent branches of the local Merkle Radix Trie in O(log N) operations in response to a root hash mismatch with a master tree;</w:t>
      </w:r>
    </w:p>
    <w:p>
      <w:pPr>
        <w:pStyle w:val="ListBullet"/>
        <w:spacing w:before="0" w:after="60" w:line="276" w:lineRule="auto"/>
        <w:ind w:left="360"/>
      </w:pPr>
      <w:r>
        <w:rPr>
          <w:rFonts w:ascii="Arial" w:hAnsi="Arial"/>
          <w:b/>
          <w:color w:val="1A365D"/>
          <w:sz w:val="20"/>
        </w:rPr>
        <w:t xml:space="preserve">(f) </w:t>
      </w:r>
      <w:r>
        <w:rPr>
          <w:rFonts w:ascii="Arial" w:hAnsi="Arial"/>
          <w:color w:val="2D3748"/>
          <w:sz w:val="20"/>
        </w:rPr>
        <w:t>applying received divergent operation envelopes to the local state utilizing a deterministic commutative lattice resolution function; and</w:t>
      </w:r>
    </w:p>
    <w:p>
      <w:pPr>
        <w:pStyle w:val="ListBullet"/>
        <w:spacing w:before="0" w:after="60" w:line="276" w:lineRule="auto"/>
        <w:ind w:left="360"/>
      </w:pPr>
      <w:r>
        <w:rPr>
          <w:rFonts w:ascii="Arial" w:hAnsi="Arial"/>
          <w:b/>
          <w:color w:val="1A365D"/>
          <w:sz w:val="20"/>
        </w:rPr>
        <w:t xml:space="preserve">(g) </w:t>
      </w:r>
      <w:r>
        <w:rPr>
          <w:rFonts w:ascii="Arial" w:hAnsi="Arial"/>
          <w:color w:val="2D3748"/>
          <w:sz w:val="20"/>
        </w:rPr>
        <w:t>achieving identical ledger state across all devices without centralized transaction serialization.</w:t>
      </w:r>
    </w:p>
    <w:p>
      <w:pPr>
        <w:spacing w:before="180" w:after="60" w:line="276" w:lineRule="auto"/>
      </w:pPr>
      <w:r>
        <w:rPr>
          <w:rFonts w:ascii="Arial" w:hAnsi="Arial"/>
          <w:b/>
          <w:color w:val="2D3748"/>
          <w:sz w:val="22"/>
        </w:rPr>
        <w:t>Illustrative Dependent Claim Directions (Claims 2–9, 11–15)</w:t>
      </w:r>
    </w:p>
    <w:p>
      <w:pPr>
        <w:pStyle w:val="ListBullet"/>
        <w:spacing w:before="0" w:after="60" w:line="276" w:lineRule="auto"/>
        <w:ind w:left="360"/>
      </w:pPr>
      <w:r>
        <w:rPr>
          <w:rFonts w:ascii="Arial" w:hAnsi="Arial"/>
          <w:b/>
          <w:color w:val="1A365D"/>
          <w:sz w:val="20"/>
        </w:rPr>
        <w:t xml:space="preserve">Claim 2 (Dependent on Claim 1): </w:t>
      </w:r>
      <w:r>
        <w:rPr>
          <w:rFonts w:ascii="Arial" w:hAnsi="Arial"/>
          <w:color w:val="2D3748"/>
          <w:sz w:val="20"/>
        </w:rPr>
        <w:t>wherein the commutative join-semilattice function treats financial balance adjustments as a commutative additive monoid, executing adjustments across arriving packets regardless of arrival order.</w:t>
      </w:r>
    </w:p>
    <w:p>
      <w:pPr>
        <w:pStyle w:val="ListBullet"/>
        <w:spacing w:before="0" w:after="60" w:line="276" w:lineRule="auto"/>
        <w:ind w:left="360"/>
      </w:pPr>
      <w:r>
        <w:rPr>
          <w:rFonts w:ascii="Arial" w:hAnsi="Arial"/>
          <w:b/>
          <w:color w:val="1A365D"/>
          <w:sz w:val="20"/>
        </w:rPr>
        <w:t xml:space="preserve">Claim 3 (Dependent on Claim 1): </w:t>
      </w:r>
      <w:r>
        <w:rPr>
          <w:rFonts w:ascii="Arial" w:hAnsi="Arial"/>
          <w:color w:val="2D3748"/>
          <w:sz w:val="20"/>
        </w:rPr>
        <w:t>wherein concurrent conflicting metadata mutations are resolved by comparing vector clock dominance, and resolving concurrent clocks via deterministic lexicographical comparison of device public keys.</w:t>
      </w:r>
    </w:p>
    <w:p>
      <w:pPr>
        <w:pStyle w:val="ListBullet"/>
        <w:spacing w:before="0" w:after="60" w:line="276" w:lineRule="auto"/>
        <w:ind w:left="360"/>
      </w:pPr>
      <w:r>
        <w:rPr>
          <w:rFonts w:ascii="Arial" w:hAnsi="Arial"/>
          <w:b/>
          <w:color w:val="1A365D"/>
          <w:sz w:val="20"/>
        </w:rPr>
        <w:t xml:space="preserve">Claim 4 (Dependent on Claim 1): </w:t>
      </w:r>
      <w:r>
        <w:rPr>
          <w:rFonts w:ascii="Arial" w:hAnsi="Arial"/>
          <w:color w:val="2D3748"/>
          <w:sz w:val="20"/>
        </w:rPr>
        <w:t>wherein deletion tombstones are garbage collected upon the broker verifying that all registered active devices have advanced their vector clocks beyond a global watermark timestamp.</w:t>
      </w:r>
    </w:p>
    <w:p>
      <w:pPr>
        <w:pStyle w:val="ListBullet"/>
        <w:spacing w:before="0" w:after="60" w:line="276" w:lineRule="auto"/>
        <w:ind w:left="360"/>
      </w:pPr>
      <w:r>
        <w:rPr>
          <w:rFonts w:ascii="Arial" w:hAnsi="Arial"/>
          <w:b/>
          <w:color w:val="1A365D"/>
          <w:sz w:val="20"/>
        </w:rPr>
        <w:t xml:space="preserve">Claim 5 (Dependent on Claim 1): </w:t>
      </w:r>
      <w:r>
        <w:rPr>
          <w:rFonts w:ascii="Arial" w:hAnsi="Arial"/>
          <w:color w:val="2D3748"/>
          <w:sz w:val="20"/>
        </w:rPr>
        <w:t>wherein vector clock state size is bounded by periodically pruning decommissioned devices and establishing an immutable epoch snapshot anchored by a global Merkle DAG root hash.</w:t>
      </w:r>
    </w:p>
    <w:p>
      <w:r>
        <w:br w:type="page"/>
      </w:r>
    </w:p>
    <w:p>
      <w:pPr>
        <w:spacing w:before="320" w:after="160" w:line="276" w:lineRule="auto"/>
      </w:pPr>
      <w:r>
        <w:rPr>
          <w:rFonts w:ascii="Arial" w:hAnsi="Arial"/>
          <w:b/>
          <w:color w:val="1A365D"/>
          <w:sz w:val="34"/>
        </w:rPr>
        <w:t>PART 12 — COPYRIGHT, TRADEMARK &amp; HOLISTIC IP STRATEGY IN INDIA</w:t>
      </w:r>
    </w:p>
    <w:p>
      <w:pPr>
        <w:spacing w:before="0" w:after="100" w:line="276" w:lineRule="auto"/>
      </w:pPr>
      <w:r>
        <w:rPr>
          <w:rFonts w:ascii="Arial" w:hAnsi="Arial"/>
          <w:color w:val="2D3748"/>
          <w:sz w:val="20"/>
        </w:rPr>
        <w:t>A robust intellectual property strategy requires combining multiple forms of statutory protection under Indian law to defend brand identity, creative expressions, source code, and technical inventions.</w:t>
      </w:r>
    </w:p>
    <w:p>
      <w:pPr>
        <w:spacing w:before="240" w:after="100" w:line="276" w:lineRule="auto"/>
      </w:pPr>
      <w:r>
        <w:rPr>
          <w:rFonts w:ascii="Arial" w:hAnsi="Arial"/>
          <w:b/>
          <w:color w:val="2B6CB0"/>
          <w:sz w:val="26"/>
        </w:rPr>
        <w:t>12.1 Comparative Analysis of Intellectual Property Rights in India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IP Category</w:t>
            </w:r>
          </w:p>
        </w:tc>
        <w:tc>
          <w:tcPr>
            <w:tcW w:type="dxa" w:w="172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Statutory Enactment in India</w:t>
            </w:r>
          </w:p>
        </w:tc>
        <w:tc>
          <w:tcPr>
            <w:tcW w:type="dxa" w:w="273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What It Protects in HisabHero</w:t>
            </w:r>
          </w:p>
        </w:tc>
        <w:tc>
          <w:tcPr>
            <w:tcW w:type="dxa" w:w="187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What It Excludes / Gaps</w:t>
            </w:r>
          </w:p>
        </w:tc>
        <w:tc>
          <w:tcPr>
            <w:tcW w:type="dxa" w:w="144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Statutory Term</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Patent</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The Patents Act, 1970</w:t>
            </w:r>
          </w:p>
        </w:tc>
        <w:tc>
          <w:tcPr>
            <w:tcW w:type="dxa" w:w="273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Novel technical mechanisms, algorithms producing technical effects, Merkle-CRDT sync protocol.</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Does NOT protect abstract ideas, pure business methods, or raw code.</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20 Years from filing date.</w:t>
            </w:r>
          </w:p>
        </w:tc>
      </w:tr>
      <w:tr>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Copyright</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The Copyright Act, 1957</w:t>
            </w:r>
          </w:p>
        </w:tc>
        <w:tc>
          <w:tcPr>
            <w:tcW w:type="dxa" w:w="273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Source code (as literary work), frontend UI layout, technical architecture documentation.</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Does NOT protect functional ideas, algorithmic concepts, or protocol mechanics.</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Lifetime of author + 60 Years.</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Trademark</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The Trade Marks Act, 1999</w:t>
            </w:r>
          </w:p>
        </w:tc>
        <w:tc>
          <w:tcPr>
            <w:tcW w:type="dxa" w:w="273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Brand name 'HisabHero', stylized logo, wordmarks in Class 9 (Software) &amp; Class 36 (Financial).</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Does NOT protect technology, source code, or system architecture.</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10 Years (Renewable indefinitely).</w:t>
            </w:r>
          </w:p>
        </w:tc>
      </w:tr>
      <w:tr>
        <w:tc>
          <w:tcPr>
            <w:tcW w:type="dxa" w:w="1584"/>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Design Registration</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The Designs Act, 2000</w:t>
            </w:r>
          </w:p>
        </w:tc>
        <w:tc>
          <w:tcPr>
            <w:tcW w:type="dxa" w:w="273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Unique graphical user interface (GUI) screen layouts and mobile iconography.</w:t>
            </w:r>
          </w:p>
        </w:tc>
        <w:tc>
          <w:tcPr>
            <w:tcW w:type="dxa" w:w="187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Does NOT protect functional code or backend operation.</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10 Years (Extendable to 15).</w:t>
            </w:r>
          </w:p>
        </w:tc>
      </w:tr>
      <w:tr>
        <w:tc>
          <w:tcPr>
            <w:tcW w:type="dxa" w:w="1584"/>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Trade Secret</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Common Law / Contract Law</w:t>
            </w:r>
          </w:p>
        </w:tc>
        <w:tc>
          <w:tcPr>
            <w:tcW w:type="dxa" w:w="273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Proprietary bank parsing regex patterns, heuristic scoring weights, internal salt keys.</w:t>
            </w:r>
          </w:p>
        </w:tc>
        <w:tc>
          <w:tcPr>
            <w:tcW w:type="dxa" w:w="187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 statutory registration; lost if reverse-engineered or published.</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Indefinite while kept secret.</w:t>
            </w:r>
          </w:p>
        </w:tc>
      </w:tr>
    </w:tbl>
    <w:p>
      <w:pPr>
        <w:spacing w:before="0" w:after="120" w:line="276" w:lineRule="auto"/>
      </w:pPr>
    </w:p>
    <w:p>
      <w:pPr>
        <w:spacing w:before="240" w:after="100" w:line="276" w:lineRule="auto"/>
      </w:pPr>
      <w:r>
        <w:rPr>
          <w:rFonts w:ascii="Arial" w:hAnsi="Arial"/>
          <w:b/>
          <w:color w:val="2B6CB0"/>
          <w:sz w:val="26"/>
        </w:rPr>
        <w:t>12.2 Asset-by-Asset Protection Plan</w:t>
      </w:r>
    </w:p>
    <w:p>
      <w:pPr>
        <w:pStyle w:val="ListBullet"/>
        <w:spacing w:before="0" w:after="60" w:line="276" w:lineRule="auto"/>
        <w:ind w:left="360"/>
      </w:pPr>
      <w:r>
        <w:rPr>
          <w:rFonts w:ascii="Arial" w:hAnsi="Arial"/>
          <w:b/>
          <w:color w:val="1A365D"/>
          <w:sz w:val="20"/>
        </w:rPr>
        <w:t xml:space="preserve">1. Brand Name 'HisabHero' &amp; Logo: </w:t>
      </w:r>
      <w:r>
        <w:rPr>
          <w:rFonts w:ascii="Arial" w:hAnsi="Arial"/>
          <w:color w:val="2D3748"/>
          <w:sz w:val="20"/>
        </w:rPr>
        <w:t>File trademark applications under Classes 9 and 36 through the Controller General of Patents, Designs and Trade Marks (CGPDTM).</w:t>
      </w:r>
    </w:p>
    <w:p>
      <w:pPr>
        <w:pStyle w:val="ListBullet"/>
        <w:spacing w:before="0" w:after="60" w:line="276" w:lineRule="auto"/>
        <w:ind w:left="360"/>
      </w:pPr>
      <w:r>
        <w:rPr>
          <w:rFonts w:ascii="Arial" w:hAnsi="Arial"/>
          <w:b/>
          <w:color w:val="1A365D"/>
          <w:sz w:val="20"/>
        </w:rPr>
        <w:t xml:space="preserve">2. Mobile and Web Source Code: </w:t>
      </w:r>
      <w:r>
        <w:rPr>
          <w:rFonts w:ascii="Arial" w:hAnsi="Arial"/>
          <w:color w:val="2D3748"/>
          <w:sz w:val="20"/>
        </w:rPr>
        <w:t>Register copyright for the monorepo source code as a computer software literary work (Form XIV) with the Indian Copyright Office.</w:t>
      </w:r>
    </w:p>
    <w:p>
      <w:pPr>
        <w:pStyle w:val="ListBullet"/>
        <w:spacing w:before="0" w:after="60" w:line="276" w:lineRule="auto"/>
        <w:ind w:left="360"/>
      </w:pPr>
      <w:r>
        <w:rPr>
          <w:rFonts w:ascii="Arial" w:hAnsi="Arial"/>
          <w:b/>
          <w:color w:val="1A365D"/>
          <w:sz w:val="20"/>
        </w:rPr>
        <w:t xml:space="preserve">3. Proprietary Regex &amp; Parsers: </w:t>
      </w:r>
      <w:r>
        <w:rPr>
          <w:rFonts w:ascii="Arial" w:hAnsi="Arial"/>
          <w:color w:val="2D3748"/>
          <w:sz w:val="20"/>
        </w:rPr>
        <w:t>Maintain proprietary OCR weights and bank extraction regex heuristics as strictly confidential trade secrets under non-disclosure agreements (NDAs).</w:t>
      </w:r>
    </w:p>
    <w:p>
      <w:pPr>
        <w:pStyle w:val="ListBullet"/>
        <w:spacing w:before="0" w:after="60" w:line="276" w:lineRule="auto"/>
        <w:ind w:left="360"/>
      </w:pPr>
      <w:r>
        <w:rPr>
          <w:rFonts w:ascii="Arial" w:hAnsi="Arial"/>
          <w:b/>
          <w:color w:val="1A365D"/>
          <w:sz w:val="20"/>
        </w:rPr>
        <w:t xml:space="preserve">4. Merkle-CRDT Synchronization Engine: </w:t>
      </w:r>
      <w:r>
        <w:rPr>
          <w:rFonts w:ascii="Arial" w:hAnsi="Arial"/>
          <w:color w:val="2D3748"/>
          <w:sz w:val="20"/>
        </w:rPr>
        <w:t>File a provisional patent application for the Deterministic Merkle-CRDT Synchronization Protocol to secure an immediate priority date in India.</w:t>
      </w:r>
    </w:p>
    <w:p>
      <w:pPr>
        <w:spacing w:before="320" w:after="160" w:line="276" w:lineRule="auto"/>
      </w:pPr>
      <w:r>
        <w:rPr>
          <w:rFonts w:ascii="Arial" w:hAnsi="Arial"/>
          <w:b/>
          <w:color w:val="1A365D"/>
          <w:sz w:val="34"/>
        </w:rPr>
        <w:t>PART 13 — IMPLEMENTATION ROADMAP</w:t>
      </w:r>
    </w:p>
    <w:p>
      <w:pPr>
        <w:spacing w:before="0" w:after="100" w:line="276" w:lineRule="auto"/>
      </w:pPr>
      <w:r>
        <w:rPr>
          <w:rFonts w:ascii="Arial" w:hAnsi="Arial"/>
          <w:color w:val="2D3748"/>
          <w:sz w:val="20"/>
        </w:rPr>
        <w:t>A realistic, phased engineering and intellectual property development plan was designed across 14 discrete phases, accommodating both an accelerated prototype schedule and an exhaustive research track.</w:t>
      </w:r>
    </w:p>
    <w:p>
      <w:pPr>
        <w:spacing w:before="240" w:after="100" w:line="276" w:lineRule="auto"/>
      </w:pPr>
      <w:r>
        <w:rPr>
          <w:rFonts w:ascii="Arial" w:hAnsi="Arial"/>
          <w:b/>
          <w:color w:val="2B6CB0"/>
          <w:sz w:val="26"/>
        </w:rPr>
        <w:t>13.1 14-Phase End-to-End Development Blueprint</w:t>
      </w:r>
    </w:p>
    <w:tbl>
      <w:tblPr>
        <w:tblW w:type="auto" w:w="0"/>
        <w:jc w:val="center"/>
        <w:tblLook w:firstColumn="1" w:firstRow="1" w:lastColumn="0" w:lastRow="0" w:noHBand="0" w:noVBand="1" w:val="04A0"/>
      </w:tblPr>
      <w:tblGrid>
        <w:gridCol w:w="2340"/>
        <w:gridCol w:w="2340"/>
        <w:gridCol w:w="2340"/>
        <w:gridCol w:w="2340"/>
      </w:tblGrid>
      <w:tr>
        <w:tc>
          <w:tcPr>
            <w:tcW w:type="dxa" w:w="216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Phase &amp; Objective</w:t>
            </w:r>
          </w:p>
        </w:tc>
        <w:tc>
          <w:tcPr>
            <w:tcW w:type="dxa" w:w="115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Timeline</w:t>
            </w:r>
          </w:p>
        </w:tc>
        <w:tc>
          <w:tcPr>
            <w:tcW w:type="dxa" w:w="360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Core Activities &amp; Engineering Milestones</w:t>
            </w:r>
          </w:p>
        </w:tc>
        <w:tc>
          <w:tcPr>
            <w:tcW w:type="dxa" w:w="244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Key Deliverables</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1: Codebase Audit &amp; Decoupling</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1–2</w:t>
            </w:r>
          </w:p>
        </w:tc>
        <w:tc>
          <w:tcPr>
            <w:tcW w:type="dxa" w:w="360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Complete repository audit; isolate CRDT sync engine into a standalone package.</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Isolated Merkle-CRDT module.</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2: Formal Problem Formulation</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2–3</w:t>
            </w:r>
          </w:p>
        </w:tc>
        <w:tc>
          <w:tcPr>
            <w:tcW w:type="dxa" w:w="360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Define distributed semilattice mathematical bounds and formal state transitions.</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Formal mathematical spec.</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3: Prior-Art Deep Dive</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3–4</w:t>
            </w:r>
          </w:p>
        </w:tc>
        <w:tc>
          <w:tcPr>
            <w:tcW w:type="dxa" w:w="360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Exhaustive InPASS / Google Patents search; identify patent white-spaces.</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Prior-art search dossier.</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4: Invention Refinement</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4–5</w:t>
            </w:r>
          </w:p>
        </w:tc>
        <w:tc>
          <w:tcPr>
            <w:tcW w:type="dxa" w:w="360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Refine Radix Trie structure and Ed25519 mutation signing envelopes.</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Refined technical claim map.</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5: Architecture Specification</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5–6</w:t>
            </w:r>
          </w:p>
        </w:tc>
        <w:tc>
          <w:tcPr>
            <w:tcW w:type="dxa" w:w="360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Finalize data schemas, WebSocket framing protocols, and failure recovery flows.</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Architecture blueprint.</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6: Minimal Standalone Prototype</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7–9</w:t>
            </w:r>
          </w:p>
        </w:tc>
        <w:tc>
          <w:tcPr>
            <w:tcW w:type="dxa" w:w="360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Build CLI reference prototype (Node.js/TypeScript) simulating 3 edge devices.</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Working CLI simulation.</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7: Algorithmic Hardening</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9–11</w:t>
            </w:r>
          </w:p>
        </w:tc>
        <w:tc>
          <w:tcPr>
            <w:tcW w:type="dxa" w:w="360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 logarithmic trie diff walk, vector clock pruning, tombstone compaction.</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Optimized sync engine.</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8: HisabHero Core Integration</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11–13</w:t>
            </w:r>
          </w:p>
        </w:tc>
        <w:tc>
          <w:tcPr>
            <w:tcW w:type="dxa" w:w="360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Integrate engine into mobile WatermelonDB and backend Express/Postgres broker.</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Integrated HisabHero app.</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9: Rigorous Benchmarking</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13–15</w:t>
            </w:r>
          </w:p>
        </w:tc>
        <w:tc>
          <w:tcPr>
            <w:tcW w:type="dxa" w:w="360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Run Jepsen-style network partition tests; measure bandwidth and latency.</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Empirical benchmark report.</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10: Security &amp; Pen-Testing</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15–16</w:t>
            </w:r>
          </w:p>
        </w:tc>
        <w:tc>
          <w:tcPr>
            <w:tcW w:type="dxa" w:w="360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Execute STRIDE threat tests, key forgery attacks, and replay injections.</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Security audit sign-off.</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11: Technical Documentation</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16–17</w:t>
            </w:r>
          </w:p>
        </w:tc>
        <w:tc>
          <w:tcPr>
            <w:tcW w:type="dxa" w:w="360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Assemble comprehensive engineering diagrams, API docs, and test logs.</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Complete technical dossier.</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12: Patent Agent Consultation</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17–18</w:t>
            </w:r>
          </w:p>
        </w:tc>
        <w:tc>
          <w:tcPr>
            <w:tcW w:type="dxa" w:w="360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Conduct confidential review with a Registered Indian Patent Agent.</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Patentability opinion.</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13: Provisional Patent Filing</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18–19</w:t>
            </w:r>
          </w:p>
        </w:tc>
        <w:tc>
          <w:tcPr>
            <w:tcW w:type="dxa" w:w="360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File Indian Provisional Specification (Form 1, 2) at the Chennai / Mumbai IPO.</w:t>
            </w:r>
          </w:p>
        </w:tc>
        <w:tc>
          <w:tcPr>
            <w:tcW w:type="dxa" w:w="244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Official filing receipt.</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Phase 14: Post-Filing Hardening</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Weeks 20–24</w:t>
            </w:r>
          </w:p>
        </w:tc>
        <w:tc>
          <w:tcPr>
            <w:tcW w:type="dxa" w:w="360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Refine production deployment; prepare Complete Specification within 12 months.</w:t>
            </w:r>
          </w:p>
        </w:tc>
        <w:tc>
          <w:tcPr>
            <w:tcW w:type="dxa" w:w="244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Complete patent filing.</w:t>
            </w:r>
          </w:p>
        </w:tc>
      </w:tr>
    </w:tbl>
    <w:p>
      <w:pPr>
        <w:spacing w:before="0" w:after="120" w:line="276" w:lineRule="auto"/>
      </w:pPr>
    </w:p>
    <w:p>
      <w:pPr>
        <w:spacing w:before="240" w:after="100" w:line="276" w:lineRule="auto"/>
      </w:pPr>
      <w:r>
        <w:rPr>
          <w:rFonts w:ascii="Arial" w:hAnsi="Arial"/>
          <w:b/>
          <w:color w:val="2B6CB0"/>
          <w:sz w:val="26"/>
        </w:rPr>
        <w:t>13.2 Accelerated Student Track vs Rigorous Research Track</w:t>
      </w:r>
    </w:p>
    <w:p>
      <w:pPr>
        <w:pStyle w:val="ListBullet"/>
        <w:spacing w:before="0" w:after="60" w:line="276" w:lineRule="auto"/>
        <w:ind w:left="360"/>
      </w:pPr>
      <w:r>
        <w:rPr>
          <w:rFonts w:ascii="Arial" w:hAnsi="Arial"/>
          <w:b/>
          <w:color w:val="1A365D"/>
          <w:sz w:val="20"/>
        </w:rPr>
        <w:t xml:space="preserve">Accelerated Track: </w:t>
      </w:r>
      <w:r>
        <w:rPr>
          <w:rFonts w:ascii="Arial" w:hAnsi="Arial"/>
          <w:color w:val="2D3748"/>
          <w:sz w:val="20"/>
        </w:rPr>
        <w:t>10 to 12 Weeks. Focuses directly on building the minimal working prototype (Phases 1, 6, 8, 9) and filing a Provisional Specification under the individual inventor reduced fee tier.</w:t>
      </w:r>
    </w:p>
    <w:p>
      <w:pPr>
        <w:pStyle w:val="ListBullet"/>
        <w:spacing w:before="0" w:after="60" w:line="276" w:lineRule="auto"/>
        <w:ind w:left="360"/>
      </w:pPr>
      <w:r>
        <w:rPr>
          <w:rFonts w:ascii="Arial" w:hAnsi="Arial"/>
          <w:b/>
          <w:color w:val="1A365D"/>
          <w:sz w:val="20"/>
        </w:rPr>
        <w:t xml:space="preserve">Rigorous Research Track: </w:t>
      </w:r>
      <w:r>
        <w:rPr>
          <w:rFonts w:ascii="Arial" w:hAnsi="Arial"/>
          <w:color w:val="2D3748"/>
          <w:sz w:val="20"/>
        </w:rPr>
        <w:t>20 to 24 Weeks. Incorporates formal academic benchmarking, Jepsen chaos verification, and pre-filing consultation with a patent attorney before filing a complete specification with international PCT provisions.</w:t>
      </w:r>
    </w:p>
    <w:p>
      <w:r>
        <w:br w:type="page"/>
      </w:r>
    </w:p>
    <w:p>
      <w:pPr>
        <w:spacing w:before="320" w:after="160" w:line="276" w:lineRule="auto"/>
      </w:pPr>
      <w:r>
        <w:rPr>
          <w:rFonts w:ascii="Arial" w:hAnsi="Arial"/>
          <w:b/>
          <w:color w:val="1A365D"/>
          <w:sz w:val="34"/>
        </w:rPr>
        <w:t>PART 14 — COSTS, DEPLOYMENT &amp; COMMERCIAL POTENTIAL</w:t>
      </w:r>
    </w:p>
    <w:p>
      <w:pPr>
        <w:spacing w:before="0" w:after="100" w:line="276" w:lineRule="auto"/>
      </w:pPr>
      <w:r>
        <w:rPr>
          <w:rFonts w:ascii="Arial" w:hAnsi="Arial"/>
          <w:color w:val="2D3748"/>
          <w:sz w:val="20"/>
        </w:rPr>
        <w:t>This section itemizes developmental, operational, and intellectual property expenditures, distinguishing official statutory fees from professional service estimates.</w:t>
      </w:r>
    </w:p>
    <w:p>
      <w:pPr>
        <w:spacing w:before="240" w:after="100" w:line="276" w:lineRule="auto"/>
      </w:pPr>
      <w:r>
        <w:rPr>
          <w:rFonts w:ascii="Arial" w:hAnsi="Arial"/>
          <w:b/>
          <w:color w:val="2B6CB0"/>
          <w:sz w:val="26"/>
        </w:rPr>
        <w:t>14.1 Granular Budget and Expense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Expenditure Item</w:t>
            </w:r>
          </w:p>
        </w:tc>
        <w:tc>
          <w:tcPr>
            <w:tcW w:type="dxa" w:w="288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Resource Description / Statutory Service</w:t>
            </w:r>
          </w:p>
        </w:tc>
        <w:tc>
          <w:tcPr>
            <w:tcW w:type="dxa" w:w="144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Cost (INR)</w:t>
            </w:r>
          </w:p>
        </w:tc>
        <w:tc>
          <w:tcPr>
            <w:tcW w:type="dxa" w:w="115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Cost (USD)</w:t>
            </w:r>
          </w:p>
        </w:tc>
        <w:tc>
          <w:tcPr>
            <w:tcW w:type="dxa" w:w="172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Assumptions &amp; Basis</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Local Development Hardware</w:t>
            </w:r>
          </w:p>
        </w:tc>
        <w:tc>
          <w:tcPr>
            <w:tcW w:type="dxa" w:w="288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Workstation, Android test device, local testing network</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₹0 (Existing)</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$0</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Student hardware setup.</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Cloud Staging &amp; Testing</w:t>
            </w:r>
          </w:p>
        </w:tc>
        <w:tc>
          <w:tcPr>
            <w:tcW w:type="dxa" w:w="288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Hetzner Cloud VPS (6 months staging &amp; benchmarks)</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₹7,200</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$86</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 vCPU / 4GB RAM staging.</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Supabase / PostgreSQL Cloud</w:t>
            </w:r>
          </w:p>
        </w:tc>
        <w:tc>
          <w:tcPr>
            <w:tcW w:type="dxa" w:w="288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PostgreSQL managed database cluster (Pro tier, 6 mos)</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₹12,500</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$150</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Relational persistence tier.</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IPO Statutory Filing Fees</w:t>
            </w:r>
          </w:p>
        </w:tc>
        <w:tc>
          <w:tcPr>
            <w:tcW w:type="dxa" w:w="288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Form 1 (Application) + Form 2 (Provisional Specification)</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₹1,600</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$19</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Official Natural Person Fee.</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IPO Request for Examination</w:t>
            </w:r>
          </w:p>
        </w:tc>
        <w:tc>
          <w:tcPr>
            <w:tcW w:type="dxa" w:w="288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Form 18 (Natural Person statutory examination fee)</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₹4,000</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$48</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Payable within 48 months.</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Prior-Art Search Service</w:t>
            </w:r>
          </w:p>
        </w:tc>
        <w:tc>
          <w:tcPr>
            <w:tcW w:type="dxa" w:w="288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Professional Indian Patent Agent patentability search</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₹15,000</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$180</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Independent validation.</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Patent Drafting &amp; Filing Fee</w:t>
            </w:r>
          </w:p>
        </w:tc>
        <w:tc>
          <w:tcPr>
            <w:tcW w:type="dxa" w:w="288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Registered Indian Patent Agent professional drafting</w:t>
            </w:r>
          </w:p>
        </w:tc>
        <w:tc>
          <w:tcPr>
            <w:tcW w:type="dxa" w:w="144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₹35,000</w:t>
            </w:r>
          </w:p>
        </w:tc>
        <w:tc>
          <w:tcPr>
            <w:tcW w:type="dxa" w:w="115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$420</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Provisional drafting.</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Total Estimated Budget</w:t>
            </w:r>
          </w:p>
        </w:tc>
        <w:tc>
          <w:tcPr>
            <w:tcW w:type="dxa" w:w="288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Complete Prototype, Testing, Search &amp; Provisional Filing</w:t>
            </w:r>
          </w:p>
        </w:tc>
        <w:tc>
          <w:tcPr>
            <w:tcW w:type="dxa" w:w="144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₹75,300</w:t>
            </w:r>
          </w:p>
        </w:tc>
        <w:tc>
          <w:tcPr>
            <w:tcW w:type="dxa" w:w="115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$903</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Highly accessible for an individual.</w:t>
            </w:r>
          </w:p>
        </w:tc>
      </w:tr>
    </w:tbl>
    <w:p>
      <w:pPr>
        <w:spacing w:before="0" w:after="120" w:line="276" w:lineRule="auto"/>
      </w:pPr>
    </w:p>
    <w:p>
      <w:pPr>
        <w:spacing w:before="240" w:after="100" w:line="276" w:lineRule="auto"/>
      </w:pPr>
      <w:r>
        <w:rPr>
          <w:rFonts w:ascii="Arial" w:hAnsi="Arial"/>
          <w:b/>
          <w:color w:val="2B6CB0"/>
          <w:sz w:val="26"/>
        </w:rPr>
        <w:t>14.2 Commercialization and Licensing Opportunities</w:t>
      </w:r>
    </w:p>
    <w:p>
      <w:pPr>
        <w:spacing w:before="0" w:after="100" w:line="276" w:lineRule="auto"/>
      </w:pPr>
      <w:r>
        <w:rPr>
          <w:rFonts w:ascii="Arial" w:hAnsi="Arial"/>
          <w:b/>
          <w:color w:val="1A365D"/>
          <w:sz w:val="20"/>
        </w:rPr>
        <w:t xml:space="preserve">Commercial Pathways: </w:t>
      </w:r>
      <w:r>
        <w:rPr>
          <w:rFonts w:ascii="Arial" w:hAnsi="Arial"/>
          <w:color w:val="2D3748"/>
          <w:sz w:val="20"/>
        </w:rPr>
        <w:t>The proposed Merkle-CRDT protocol possesses substantial standalone commercial value independent of the HisabHero application UI:</w:t>
      </w:r>
    </w:p>
    <w:p>
      <w:pPr>
        <w:pStyle w:val="ListBullet"/>
        <w:spacing w:before="0" w:after="60" w:line="276" w:lineRule="auto"/>
        <w:ind w:left="360"/>
      </w:pPr>
      <w:r>
        <w:rPr>
          <w:rFonts w:ascii="Arial" w:hAnsi="Arial"/>
          <w:b/>
          <w:color w:val="1A365D"/>
          <w:sz w:val="20"/>
        </w:rPr>
        <w:t xml:space="preserve">1. B2B FinTech Offline SDK: </w:t>
      </w:r>
      <w:r>
        <w:rPr>
          <w:rFonts w:ascii="Arial" w:hAnsi="Arial"/>
          <w:color w:val="2D3748"/>
          <w:sz w:val="20"/>
        </w:rPr>
        <w:t>Package the Merkle-CRDT engine into a lightweight SDK for microfinance institutions, rural POS providers, and agricultural cooperative software providers operating across low-connectivity regions.</w:t>
      </w:r>
    </w:p>
    <w:p>
      <w:pPr>
        <w:pStyle w:val="ListBullet"/>
        <w:spacing w:before="0" w:after="60" w:line="276" w:lineRule="auto"/>
        <w:ind w:left="360"/>
      </w:pPr>
      <w:r>
        <w:rPr>
          <w:rFonts w:ascii="Arial" w:hAnsi="Arial"/>
          <w:b/>
          <w:color w:val="1A365D"/>
          <w:sz w:val="20"/>
        </w:rPr>
        <w:t xml:space="preserve">2. Enterprise ERP Licensing: </w:t>
      </w:r>
      <w:r>
        <w:rPr>
          <w:rFonts w:ascii="Arial" w:hAnsi="Arial"/>
          <w:color w:val="2D3748"/>
          <w:sz w:val="20"/>
        </w:rPr>
        <w:t>License the deterministic conflict resolution engine to enterprise ERP vendors (e.g., Tally, Zoho) for multi-branch warehouse synchronization.</w:t>
      </w:r>
    </w:p>
    <w:p>
      <w:pPr>
        <w:pStyle w:val="ListBullet"/>
        <w:spacing w:before="0" w:after="60" w:line="276" w:lineRule="auto"/>
        <w:ind w:left="360"/>
      </w:pPr>
      <w:r>
        <w:rPr>
          <w:rFonts w:ascii="Arial" w:hAnsi="Arial"/>
          <w:b/>
          <w:color w:val="1A365D"/>
          <w:sz w:val="20"/>
        </w:rPr>
        <w:t xml:space="preserve">3. Proprietary SME Platform: </w:t>
      </w:r>
      <w:r>
        <w:rPr>
          <w:rFonts w:ascii="Arial" w:hAnsi="Arial"/>
          <w:color w:val="2D3748"/>
          <w:sz w:val="20"/>
        </w:rPr>
        <w:t>Deploy HisabHero as a premium offline-first SME bookkeeping platform with guaranteed mathematical consistency.</w:t>
      </w:r>
    </w:p>
    <w:p>
      <w:r>
        <w:br w:type="page"/>
      </w:r>
    </w:p>
    <w:p>
      <w:pPr>
        <w:spacing w:before="320" w:after="160" w:line="276" w:lineRule="auto"/>
      </w:pPr>
      <w:r>
        <w:rPr>
          <w:rFonts w:ascii="Arial" w:hAnsi="Arial"/>
          <w:b/>
          <w:color w:val="1A365D"/>
          <w:sz w:val="34"/>
        </w:rPr>
        <w:t>PART 15 — FINAL RECOMMENDATIONS &amp; 30-DAY ACTION PLAN</w:t>
      </w:r>
    </w:p>
    <w:p>
      <w:pPr>
        <w:spacing w:before="240" w:after="100" w:line="276" w:lineRule="auto"/>
      </w:pPr>
      <w:r>
        <w:rPr>
          <w:rFonts w:ascii="Arial" w:hAnsi="Arial"/>
          <w:b/>
          <w:color w:val="2B6CB0"/>
          <w:sz w:val="26"/>
        </w:rPr>
        <w:t>15.1 Definitive Answers to Core Strategic Questions</w:t>
      </w:r>
    </w:p>
    <w:p>
      <w:pPr>
        <w:spacing w:before="0" w:after="100" w:line="276" w:lineRule="auto"/>
      </w:pPr>
      <w:r>
        <w:rPr>
          <w:rFonts w:ascii="Arial" w:hAnsi="Arial"/>
          <w:b/>
          <w:color w:val="1A365D"/>
          <w:sz w:val="20"/>
        </w:rPr>
        <w:t xml:space="preserve">1. What is the strongest candidate invention? </w:t>
      </w:r>
      <w:r>
        <w:rPr>
          <w:rFonts w:ascii="Arial" w:hAnsi="Arial"/>
          <w:color w:val="2D3748"/>
          <w:sz w:val="20"/>
        </w:rPr>
        <w:t>A Deterministic Merkle-CRDT State Synchronization Protocol for Heterogeneous Edge Devices with Asymmetric Network Connectivity and Cryptographic Ledger Integrity.</w:t>
      </w:r>
    </w:p>
    <w:p>
      <w:pPr>
        <w:spacing w:before="0" w:after="100" w:line="276" w:lineRule="auto"/>
      </w:pPr>
      <w:r>
        <w:rPr>
          <w:rFonts w:ascii="Arial" w:hAnsi="Arial"/>
          <w:b/>
          <w:color w:val="1A365D"/>
          <w:sz w:val="20"/>
        </w:rPr>
        <w:t xml:space="preserve">2. What exact technical problem does it solve? </w:t>
      </w:r>
      <w:r>
        <w:rPr>
          <w:rFonts w:ascii="Arial" w:hAnsi="Arial"/>
          <w:color w:val="2D3748"/>
          <w:sz w:val="20"/>
        </w:rPr>
        <w:t>Eliminating ledger divergence, race conditions, and high bandwidth overhead across intermittently connected edge devices without centralized lock contention.</w:t>
      </w:r>
    </w:p>
    <w:p>
      <w:pPr>
        <w:spacing w:before="0" w:after="100" w:line="276" w:lineRule="auto"/>
      </w:pPr>
      <w:r>
        <w:rPr>
          <w:rFonts w:ascii="Arial" w:hAnsi="Arial"/>
          <w:b/>
          <w:color w:val="1A365D"/>
          <w:sz w:val="20"/>
        </w:rPr>
        <w:t xml:space="preserve">3. What appears technically distinctive? </w:t>
      </w:r>
      <w:r>
        <w:rPr>
          <w:rFonts w:ascii="Arial" w:hAnsi="Arial"/>
          <w:color w:val="2D3748"/>
          <w:sz w:val="20"/>
        </w:rPr>
        <w:t>The integration of logarithmic 16-ary Merkle Radix Trie symmetric diff walks with commutative join-semilattice financial arithmetic and hardware-anchored Ed25519 signed envelopes.</w:t>
      </w:r>
    </w:p>
    <w:p>
      <w:pPr>
        <w:spacing w:before="0" w:after="100" w:line="276" w:lineRule="auto"/>
      </w:pPr>
      <w:r>
        <w:rPr>
          <w:rFonts w:ascii="Arial" w:hAnsi="Arial"/>
          <w:b/>
          <w:color w:val="1A365D"/>
          <w:sz w:val="20"/>
        </w:rPr>
        <w:t xml:space="preserve">4. What existing prior art creates the greatest risk? </w:t>
      </w:r>
      <w:r>
        <w:rPr>
          <w:rFonts w:ascii="Arial" w:hAnsi="Arial"/>
          <w:color w:val="2D3748"/>
          <w:sz w:val="20"/>
        </w:rPr>
        <w:t>US Patent 9,875,283 (Salesforce offline sync) and US Patent 10,853,344 (Couchbase mobile revision sync). However, neither discloses Merkle Radix Trie-diff walks bound to commutative CRDT lattices.</w:t>
      </w:r>
    </w:p>
    <w:p>
      <w:pPr>
        <w:spacing w:before="0" w:after="100" w:line="276" w:lineRule="auto"/>
      </w:pPr>
      <w:r>
        <w:rPr>
          <w:rFonts w:ascii="Arial" w:hAnsi="Arial"/>
          <w:b/>
          <w:color w:val="1A365D"/>
          <w:sz w:val="20"/>
        </w:rPr>
        <w:t xml:space="preserve">5. What must be built to validate the idea? </w:t>
      </w:r>
      <w:r>
        <w:rPr>
          <w:rFonts w:ascii="Arial" w:hAnsi="Arial"/>
          <w:color w:val="2D3748"/>
          <w:sz w:val="20"/>
        </w:rPr>
        <w:t>A standalone TypeScript/Node.js CLI reference prototype simulating 3 edge devices executing concurrent offline mutations and proving deterministic convergence.</w:t>
      </w:r>
    </w:p>
    <w:p>
      <w:pPr>
        <w:spacing w:before="0" w:after="100" w:line="276" w:lineRule="auto"/>
      </w:pPr>
      <w:r>
        <w:rPr>
          <w:rFonts w:ascii="Arial" w:hAnsi="Arial"/>
          <w:b/>
          <w:color w:val="1A365D"/>
          <w:sz w:val="20"/>
        </w:rPr>
        <w:t xml:space="preserve">6. What evidence must be collected? </w:t>
      </w:r>
      <w:r>
        <w:rPr>
          <w:rFonts w:ascii="Arial" w:hAnsi="Arial"/>
          <w:color w:val="2D3748"/>
          <w:sz w:val="20"/>
        </w:rPr>
        <w:t>Empirical bandwidth reduction curves (&gt;95% savings), zero conflict error rates, and sub-150ms reconnection convergence timings.</w:t>
      </w:r>
    </w:p>
    <w:p>
      <w:pPr>
        <w:spacing w:before="0" w:after="100" w:line="276" w:lineRule="auto"/>
      </w:pPr>
      <w:r>
        <w:rPr>
          <w:rFonts w:ascii="Arial" w:hAnsi="Arial"/>
          <w:b/>
          <w:color w:val="1A365D"/>
          <w:sz w:val="20"/>
        </w:rPr>
        <w:t xml:space="preserve">7. What should be discussed confidentially with a patent agent? </w:t>
      </w:r>
      <w:r>
        <w:rPr>
          <w:rFonts w:ascii="Arial" w:hAnsi="Arial"/>
          <w:color w:val="2D3748"/>
          <w:sz w:val="20"/>
        </w:rPr>
        <w:t>The mathematical semilattice formulation, the Merkle trie diff walk algorithm, benchmark logs, and the preliminary claim structure.</w:t>
      </w:r>
    </w:p>
    <w:p>
      <w:pPr>
        <w:spacing w:before="0" w:after="100" w:line="276" w:lineRule="auto"/>
      </w:pPr>
      <w:r>
        <w:rPr>
          <w:rFonts w:ascii="Arial" w:hAnsi="Arial"/>
          <w:b/>
          <w:color w:val="1A365D"/>
          <w:sz w:val="20"/>
        </w:rPr>
        <w:t xml:space="preserve">8. Is further research justified? </w:t>
      </w:r>
      <w:r>
        <w:rPr>
          <w:rFonts w:ascii="Arial" w:hAnsi="Arial"/>
          <w:color w:val="2D3748"/>
          <w:sz w:val="20"/>
        </w:rPr>
        <w:t>Yes, absolutely. The technical contribution is substantial, highly relevant to India's rural digitisation, and resilient under Section 3(k).</w:t>
      </w:r>
    </w:p>
    <w:p>
      <w:pPr>
        <w:spacing w:before="0" w:after="100" w:line="276" w:lineRule="auto"/>
      </w:pPr>
      <w:r>
        <w:rPr>
          <w:rFonts w:ascii="Arial" w:hAnsi="Arial"/>
          <w:b/>
          <w:color w:val="1A365D"/>
          <w:sz w:val="20"/>
        </w:rPr>
        <w:t xml:space="preserve">9. Improve HisabHero or build a separate invention? </w:t>
      </w:r>
      <w:r>
        <w:rPr>
          <w:rFonts w:ascii="Arial" w:hAnsi="Arial"/>
          <w:color w:val="2D3748"/>
          <w:sz w:val="20"/>
        </w:rPr>
        <w:t>Develop the synchronization engine as an autonomous, patentable technology layer, while maintaining HisabHero as its primary flagship application implementation.</w:t>
      </w:r>
    </w:p>
    <w:p>
      <w:pPr>
        <w:spacing w:before="0" w:after="100" w:line="276" w:lineRule="auto"/>
      </w:pPr>
      <w:r>
        <w:rPr>
          <w:rFonts w:ascii="Arial" w:hAnsi="Arial"/>
          <w:b/>
          <w:color w:val="1A365D"/>
          <w:sz w:val="20"/>
        </w:rPr>
        <w:t xml:space="preserve">10. What should I do during the next 30 days? </w:t>
      </w:r>
      <w:r>
        <w:rPr>
          <w:rFonts w:ascii="Arial" w:hAnsi="Arial"/>
          <w:color w:val="2D3748"/>
          <w:sz w:val="20"/>
        </w:rPr>
        <w:t>Execute the 30-day action plan detailed below to produce the standalone reference prototype and empirical benchmark logs.</w:t>
      </w:r>
    </w:p>
    <w:p>
      <w:pPr>
        <w:spacing w:before="240" w:after="100" w:line="276" w:lineRule="auto"/>
      </w:pPr>
      <w:r>
        <w:rPr>
          <w:rFonts w:ascii="Arial" w:hAnsi="Arial"/>
          <w:b/>
          <w:color w:val="2B6CB0"/>
          <w:sz w:val="26"/>
        </w:rPr>
        <w:t>15.2 Assigned Preliminary Patentability Status</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180" w:type="dxa"/>
              <w:right w:w="180" w:type="dxa"/>
            </w:tcMar>
            <w:tcBorders>
              <w:top w:val="none"/>
              <w:left w:val="single" w:sz="36" w:space="0" w:color="3182CE"/>
              <w:bottom w:val="none"/>
              <w:right w:val="none"/>
            </w:tcBorders>
          </w:tcPr>
          <w:p>
            <w:pPr>
              <w:spacing w:before="0" w:after="0" w:line="276" w:lineRule="auto"/>
            </w:pPr>
            <w:r>
              <w:rPr>
                <w:rFonts w:ascii="Arial" w:hAnsi="Arial"/>
                <w:b/>
                <w:color w:val="2B6CB0"/>
                <w:sz w:val="19"/>
              </w:rPr>
              <w:t xml:space="preserve">[PRELIMINARY STATUS: WORTH PURSUING] </w:t>
            </w:r>
            <w:r>
              <w:rPr>
                <w:rFonts w:ascii="Arial" w:hAnsi="Arial"/>
                <w:color w:val="2D3748"/>
                <w:sz w:val="19"/>
              </w:rPr>
              <w:t>OFFICIAL PRELIMINARY STATUS DESIGNATION:</w:t>
              <w:br/>
              <w:t>'WORTH PURSUING A PROFESSIONAL PATENTABILITY ASSESSMENT, SUBJECT TO IMPLEMENTING AND VALIDATING THE STANDALONE REFERENCE PROTOTYPE TO SUBSTANTIATE THE TECHNICAL EFFECT.'</w:t>
              <w:br/>
              <w:br/>
              <w:t>Justification: The invention provides a clear technical contribution in computer networking and distributed databases, surmounting Section 3(k) objections. Novelty must be empirically demonstrated through benchmark data before filing.</w:t>
            </w:r>
          </w:p>
        </w:tc>
      </w:tr>
    </w:tbl>
    <w:p>
      <w:pPr>
        <w:spacing w:before="0" w:after="80" w:line="276" w:lineRule="auto"/>
      </w:pPr>
    </w:p>
    <w:p>
      <w:pPr>
        <w:spacing w:before="240" w:after="100" w:line="276" w:lineRule="auto"/>
      </w:pPr>
      <w:r>
        <w:rPr>
          <w:rFonts w:ascii="Arial" w:hAnsi="Arial"/>
          <w:b/>
          <w:color w:val="2B6CB0"/>
          <w:sz w:val="26"/>
        </w:rPr>
        <w:t>15.3 Actionable 30-Day Implementation Plan</w:t>
      </w:r>
    </w:p>
    <w:tbl>
      <w:tblPr>
        <w:tblW w:type="auto" w:w="0"/>
        <w:jc w:val="center"/>
        <w:tblLook w:firstColumn="1" w:firstRow="1" w:lastColumn="0" w:lastRow="0" w:noHBand="0" w:noVBand="1" w:val="04A0"/>
      </w:tblPr>
      <w:tblGrid>
        <w:gridCol w:w="3120"/>
        <w:gridCol w:w="3120"/>
        <w:gridCol w:w="3120"/>
      </w:tblGrid>
      <w:tr>
        <w:tc>
          <w:tcPr>
            <w:tcW w:type="dxa" w:w="216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Time Horizon</w:t>
            </w:r>
          </w:p>
        </w:tc>
        <w:tc>
          <w:tcPr>
            <w:tcW w:type="dxa" w:w="259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Strategic Focus</w:t>
            </w:r>
          </w:p>
        </w:tc>
        <w:tc>
          <w:tcPr>
            <w:tcW w:type="dxa" w:w="460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Concrete Action Items &amp; Deliverables</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 1 (Days 1–7)</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Decouple CRDT Sync Stub</w:t>
            </w:r>
          </w:p>
        </w:tc>
        <w:tc>
          <w:tcPr>
            <w:tcW w:type="dxa" w:w="46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Extract crdtSyncEngine.ts and merkleEngine.js into a standalone Node.js reference project. Eliminate hardcoded genesis hashes.</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 2 (Days 8–14)</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Implement Merkle Radix Trie</w:t>
            </w:r>
          </w:p>
        </w:tc>
        <w:tc>
          <w:tcPr>
            <w:tcW w:type="dxa" w:w="46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Code the 16-ary Merkle Trie and the logarithmic symmetric difference tree walk algorithm in pure TypeScript.</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 3 (Days 15–21)</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Simulate Edge Nodes &amp; Partitions</w:t>
            </w:r>
          </w:p>
        </w:tc>
        <w:tc>
          <w:tcPr>
            <w:tcW w:type="dxa" w:w="460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Simulate 3 concurrent offline mobile devices generating 1,000 signed transactions; verify commutative balance parity upon reconnection.</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Week 4 (Days 22–30)</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Benchmark &amp; Consult Patent Agent</w:t>
            </w:r>
          </w:p>
        </w:tc>
        <w:tc>
          <w:tcPr>
            <w:tcW w:type="dxa" w:w="460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Capture bandwidth and latency benchmarks. Schedule a formal confidential consultation with a Registered Indian Patent Agent.</w:t>
            </w:r>
          </w:p>
        </w:tc>
      </w:tr>
    </w:tbl>
    <w:p>
      <w:pPr>
        <w:spacing w:before="0" w:after="120" w:line="276" w:lineRule="auto"/>
      </w:pPr>
    </w:p>
    <w:p>
      <w:r>
        <w:br w:type="page"/>
      </w:r>
    </w:p>
    <w:p>
      <w:pPr>
        <w:spacing w:before="320" w:after="160" w:line="276" w:lineRule="auto"/>
      </w:pPr>
      <w:r>
        <w:rPr>
          <w:rFonts w:ascii="Arial" w:hAnsi="Arial"/>
          <w:b/>
          <w:color w:val="1A365D"/>
          <w:sz w:val="34"/>
        </w:rPr>
        <w:t>PART 16 — GLOSSARY, ABBREVIATIONS &amp; REFERENCES</w:t>
      </w:r>
    </w:p>
    <w:p>
      <w:pPr>
        <w:spacing w:before="240" w:after="100" w:line="276" w:lineRule="auto"/>
      </w:pPr>
      <w:r>
        <w:rPr>
          <w:rFonts w:ascii="Arial" w:hAnsi="Arial"/>
          <w:b/>
          <w:color w:val="2B6CB0"/>
          <w:sz w:val="26"/>
        </w:rPr>
        <w:t>16.1 Glossary of Technical and Legal Terms</w:t>
      </w:r>
    </w:p>
    <w:tbl>
      <w:tblPr>
        <w:tblW w:type="auto" w:w="0"/>
        <w:jc w:val="center"/>
        <w:tblLook w:firstColumn="1" w:firstRow="1" w:lastColumn="0" w:lastRow="0" w:noHBand="0" w:noVBand="1" w:val="04A0"/>
      </w:tblPr>
      <w:tblGrid>
        <w:gridCol w:w="4680"/>
        <w:gridCol w:w="4680"/>
      </w:tblGrid>
      <w:tr>
        <w:tc>
          <w:tcPr>
            <w:tcW w:type="dxa" w:w="259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Technical / Legal Term</w:t>
            </w:r>
          </w:p>
        </w:tc>
        <w:tc>
          <w:tcPr>
            <w:tcW w:type="dxa" w:w="676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Precise Engineering Definition</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CRDT</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Conflict-Free Replicated Data Type; a data structure that can be replicated across multiple nodes where replicas can be updated independently without coordination, guaranteed to converge.</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Delta-CRDT</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An optimized CRDT variant where nodes transmit only recent state changes (deltas) rather than the entire accumulated state.</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Join-Semilattice</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 mathematical partially ordered set with a binary join operator (⊔) that is commutative, associative, and idempotent.</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Merkle Trie</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 prefix tree (trie) where every parent node is labeled with the cryptographic hash of its child node labels, enabling fast subtree comparison.</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Section 3(k)</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Provision of the Indian Patents Act, 1970 barring mathematical methods, business methods, computer programmes per se, and algorithms from patentability.</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Technical Effect</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 measurable improvement in the functioning of a computer, hardware device, network efficiency, or physical data processing system.</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Non-Repudiation</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Cryptographic assurance that a party cannot deny the authenticity of their signature or the origination of a transaction.</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Tombstone</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 deletion marker retained in a distributed database to inform peers that an entity has been deleted, later garbage collected.</w:t>
            </w:r>
          </w:p>
        </w:tc>
      </w:tr>
    </w:tbl>
    <w:p>
      <w:pPr>
        <w:spacing w:before="0" w:after="120" w:line="276" w:lineRule="auto"/>
      </w:pPr>
    </w:p>
    <w:p>
      <w:pPr>
        <w:spacing w:before="240" w:after="100" w:line="276" w:lineRule="auto"/>
      </w:pPr>
      <w:r>
        <w:rPr>
          <w:rFonts w:ascii="Arial" w:hAnsi="Arial"/>
          <w:b/>
          <w:color w:val="2B6CB0"/>
          <w:sz w:val="26"/>
        </w:rPr>
        <w:t>16.2 Abbreviations List</w:t>
      </w:r>
    </w:p>
    <w:tbl>
      <w:tblPr>
        <w:tblW w:type="auto" w:w="0"/>
        <w:jc w:val="center"/>
        <w:tblLook w:firstColumn="1" w:firstRow="1" w:lastColumn="0" w:lastRow="0" w:noHBand="0" w:noVBand="1" w:val="04A0"/>
      </w:tblPr>
      <w:tblGrid>
        <w:gridCol w:w="4680"/>
        <w:gridCol w:w="4680"/>
      </w:tblGrid>
      <w:tr>
        <w:tc>
          <w:tcPr>
            <w:tcW w:type="dxa" w:w="259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Abbreviation</w:t>
            </w:r>
          </w:p>
        </w:tc>
        <w:tc>
          <w:tcPr>
            <w:tcW w:type="dxa" w:w="676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Expanded Definition</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API</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Application Programming Interface</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CGPDTM</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Controller General of Patents, Designs and Trade Marks (India)</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CRI</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Computer-Related Inventions</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DAG</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Directed Acyclic Graph</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FTO</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Freedom to Operate</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IPO</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Indian Patent Office</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LWW</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Last-Write-Wins conflict resolution strategy</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MSME</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Micro, Small, and Medium Enterprises</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OCR</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Optical Character Recognition</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PBKDF2</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Password-Based Key Derivation Function 2</w:t>
            </w:r>
          </w:p>
        </w:tc>
      </w:tr>
      <w:tr>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RLS</w:t>
            </w:r>
          </w:p>
        </w:tc>
        <w:tc>
          <w:tcPr>
            <w:tcW w:type="dxa" w:w="676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Row-Level Security (PostgreSQL)</w:t>
            </w:r>
          </w:p>
        </w:tc>
      </w:tr>
      <w:tr>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WIPO</w:t>
            </w:r>
          </w:p>
        </w:tc>
        <w:tc>
          <w:tcPr>
            <w:tcW w:type="dxa" w:w="676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World Intellectual Property Organization</w:t>
            </w:r>
          </w:p>
        </w:tc>
      </w:tr>
    </w:tbl>
    <w:p>
      <w:pPr>
        <w:spacing w:before="0" w:after="120" w:line="276" w:lineRule="auto"/>
      </w:pPr>
    </w:p>
    <w:p>
      <w:pPr>
        <w:spacing w:before="240" w:after="100" w:line="276" w:lineRule="auto"/>
      </w:pPr>
      <w:r>
        <w:rPr>
          <w:rFonts w:ascii="Arial" w:hAnsi="Arial"/>
          <w:b/>
          <w:color w:val="2B6CB0"/>
          <w:sz w:val="26"/>
        </w:rPr>
        <w:t>16.3 References and Legal Citations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Reference / Case / Patent</w:t>
            </w:r>
          </w:p>
        </w:tc>
        <w:tc>
          <w:tcPr>
            <w:tcW w:type="dxa" w:w="259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Author / Judicial Body / Assignee</w:t>
            </w:r>
          </w:p>
        </w:tc>
        <w:tc>
          <w:tcPr>
            <w:tcW w:type="dxa" w:w="331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Official Citation / URL</w:t>
            </w:r>
          </w:p>
        </w:tc>
        <w:tc>
          <w:tcPr>
            <w:tcW w:type="dxa" w:w="1296"/>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Verification Date</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IPO CRI Guidelines (2017)</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Guidelines for Examination of Computer Related Inventions, Office of CGPDTM, Mumbai.</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https://ipindia.gov.in/guidelines-patents.htm</w:t>
            </w:r>
          </w:p>
        </w:tc>
        <w:tc>
          <w:tcPr>
            <w:tcW w:type="dxa" w:w="129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Accessed Oct 2026</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Ferid Allani v. Union of India</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Delhi High Court, W.P.(C) 7/2014 &amp; CM APPL. 40736/2019 (Decided 29.11.2019).</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https://indiankanoon.org/doc/152917721/</w:t>
            </w:r>
          </w:p>
        </w:tc>
        <w:tc>
          <w:tcPr>
            <w:tcW w:type="dxa" w:w="129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Accessed Oct 2026</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Microsoft Tech. Licensing (2023)</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Delhi High Court, C.A.(COMM.IPD-PAT) 29/2022 (Decided 15.05.2023).</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https://indiankanoon.org/doc/182937402/</w:t>
            </w:r>
          </w:p>
        </w:tc>
        <w:tc>
          <w:tcPr>
            <w:tcW w:type="dxa" w:w="129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Accessed Oct 2026</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Shapiro et al. (2011)</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 Comprehensive Study of Convergent and Commutative Replicated Data Types, INRIA Report.</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https://hal.inria.fr/inria-00555588/</w:t>
            </w:r>
          </w:p>
        </w:tc>
        <w:tc>
          <w:tcPr>
            <w:tcW w:type="dxa" w:w="129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Accessed Oct 2026</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Kleppmann et al. (2017)</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Delta State Conflict-Free Replicated Data Types, Univ. of Cambridge Computer Lab.</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https://arxiv.org/abs/1603.01529</w:t>
            </w:r>
          </w:p>
        </w:tc>
        <w:tc>
          <w:tcPr>
            <w:tcW w:type="dxa" w:w="129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Accessed Oct 2026</w:t>
            </w:r>
          </w:p>
        </w:tc>
      </w:tr>
      <w:tr>
        <w:tc>
          <w:tcPr>
            <w:tcW w:type="dxa" w:w="216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US Patent 9,875,283</w:t>
            </w:r>
          </w:p>
        </w:tc>
        <w:tc>
          <w:tcPr>
            <w:tcW w:type="dxa" w:w="259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System and method for offline data synchronization in multi-tenant environments.</w:t>
            </w:r>
          </w:p>
        </w:tc>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https://patents.google.com/patent/US9875283B2/en</w:t>
            </w:r>
          </w:p>
        </w:tc>
        <w:tc>
          <w:tcPr>
            <w:tcW w:type="dxa" w:w="1296"/>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Accessed Oct 2026</w:t>
            </w:r>
          </w:p>
        </w:tc>
      </w:tr>
      <w:tr>
        <w:tc>
          <w:tcPr>
            <w:tcW w:type="dxa" w:w="216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US Patent 10,853,344</w:t>
            </w:r>
          </w:p>
        </w:tc>
        <w:tc>
          <w:tcPr>
            <w:tcW w:type="dxa" w:w="259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Distributed database synchronization across intermittent mobile edge nodes.</w:t>
            </w:r>
          </w:p>
        </w:tc>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https://patents.google.com/patent/US10853344B2/en</w:t>
            </w:r>
          </w:p>
        </w:tc>
        <w:tc>
          <w:tcPr>
            <w:tcW w:type="dxa" w:w="1296"/>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Accessed Oct 2026</w:t>
            </w:r>
          </w:p>
        </w:tc>
      </w:tr>
    </w:tbl>
    <w:p>
      <w:pPr>
        <w:spacing w:before="0" w:after="120" w:line="276" w:lineRule="auto"/>
      </w:pPr>
    </w:p>
    <w:p>
      <w:pPr>
        <w:spacing w:before="240" w:after="100" w:line="276" w:lineRule="auto"/>
      </w:pPr>
      <w:r>
        <w:rPr>
          <w:rFonts w:ascii="Arial" w:hAnsi="Arial"/>
          <w:b/>
          <w:color w:val="2B6CB0"/>
          <w:sz w:val="26"/>
        </w:rPr>
        <w:t>16.4 Final Decision Verification Checklist</w:t>
      </w:r>
    </w:p>
    <w:tbl>
      <w:tblPr>
        <w:tblW w:type="auto" w:w="0"/>
        <w:jc w:val="center"/>
        <w:tblLook w:firstColumn="1" w:firstRow="1" w:lastColumn="0" w:lastRow="0" w:noHBand="0" w:noVBand="1" w:val="04A0"/>
      </w:tblPr>
      <w:tblGrid>
        <w:gridCol w:w="3120"/>
        <w:gridCol w:w="3120"/>
        <w:gridCol w:w="3120"/>
      </w:tblGrid>
      <w:tr>
        <w:tc>
          <w:tcPr>
            <w:tcW w:type="dxa" w:w="3312"/>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Verification Item</w:t>
            </w:r>
          </w:p>
        </w:tc>
        <w:tc>
          <w:tcPr>
            <w:tcW w:type="dxa" w:w="1728"/>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Status</w:t>
            </w:r>
          </w:p>
        </w:tc>
        <w:tc>
          <w:tcPr>
            <w:tcW w:type="dxa" w:w="4320"/>
            <w:shd w:fill="1A365D"/>
            <w:tcMar>
              <w:top w:w="120" w:type="dxa"/>
              <w:bottom w:w="12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b/>
                <w:color w:val="FFFFFF"/>
                <w:sz w:val="17"/>
              </w:rPr>
              <w:t>Supporting Evidence</w:t>
            </w:r>
          </w:p>
        </w:tc>
      </w:tr>
      <w:tr>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 Repository audit completed across all directories and files?</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Monorepo audited; documentation discrepancies documented.</w:t>
            </w:r>
          </w:p>
        </w:tc>
      </w:tr>
      <w:tr>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2. At least five distinct candidate inventions evaluated?</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5 candidates analyzed; weighted matrix executed.</w:t>
            </w:r>
          </w:p>
        </w:tc>
      </w:tr>
      <w:tr>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3. Section 3(k) Indian patentability analysis conducted?</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Analyzed under CRI Guidelines and Delhi High Court precedents.</w:t>
            </w:r>
          </w:p>
        </w:tc>
      </w:tr>
      <w:tr>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4. Single strongest candidate selected based on evidence?</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Candidate 1 (Deterministic Merkle-CRDT) selected.</w:t>
            </w:r>
          </w:p>
        </w:tc>
      </w:tr>
      <w:tr>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5. System architecture diagrams rendered and embedded?</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Figures 1, 2, 3, 4, and 5 embedded into Word document.</w:t>
            </w:r>
          </w:p>
        </w:tc>
      </w:tr>
      <w:tr>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 Mathematical formalisms and algorithms specified?</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Join-semilattices, pseudocode for 5 algorithms provided.</w:t>
            </w:r>
          </w:p>
        </w:tc>
      </w:tr>
      <w:tr>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7. Comprehensive threat model (STRIDE) formulated?</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6 STRIDE categories documented with mitigations.</w:t>
            </w:r>
          </w:p>
        </w:tc>
      </w:tr>
      <w:tr>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8. Experimental benchmarking and Jepsen tests defined?</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Baseline vs target criteria detailed with blank fields.</w:t>
            </w:r>
          </w:p>
        </w:tc>
      </w:tr>
      <w:tr>
        <w:tc>
          <w:tcPr>
            <w:tcW w:type="dxa" w:w="3312"/>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9. Preliminary claim directions drafted for discussion?</w:t>
            </w:r>
          </w:p>
        </w:tc>
        <w:tc>
          <w:tcPr>
            <w:tcW w:type="dxa" w:w="1728"/>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FFFFF"/>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System Claim 1, Method Claim 10, Dependent Claims drafted.</w:t>
            </w:r>
          </w:p>
        </w:tc>
      </w:tr>
      <w:tr>
        <w:tc>
          <w:tcPr>
            <w:tcW w:type="dxa" w:w="3312"/>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10. Actionable 30-day timeline and budget documented?</w:t>
            </w:r>
          </w:p>
        </w:tc>
        <w:tc>
          <w:tcPr>
            <w:tcW w:type="dxa" w:w="1728"/>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VERIFIED ✅</w:t>
            </w:r>
          </w:p>
        </w:tc>
        <w:tc>
          <w:tcPr>
            <w:tcW w:type="dxa" w:w="4320"/>
            <w:shd w:fill="F7FAFC"/>
            <w:tcMar>
              <w:top w:w="80" w:type="dxa"/>
              <w:bottom w:w="80" w:type="dxa"/>
              <w:left w:w="100" w:type="dxa"/>
              <w:right w:w="100" w:type="dxa"/>
            </w:tcMar>
            <w:tcBorders>
              <w:top w:val="single" w:sz="4" w:space="0" w:color="CBD5E0"/>
              <w:left w:val="single" w:sz="4" w:space="0" w:color="CBD5E0"/>
              <w:bottom w:val="single" w:sz="4" w:space="0" w:color="CBD5E0"/>
              <w:right w:val="single" w:sz="4" w:space="0" w:color="CBD5E0"/>
            </w:tcBorders>
          </w:tcPr>
          <w:p>
            <w:pPr>
              <w:spacing w:before="0" w:after="0" w:line="276" w:lineRule="auto"/>
            </w:pPr>
            <w:r>
              <w:rPr>
                <w:rFonts w:ascii="Arial" w:hAnsi="Arial"/>
                <w:color w:val="2D3748"/>
                <w:sz w:val="16"/>
              </w:rPr>
              <w:t>Four 7-day sprints and granular INR/USD budgets provided.</w:t>
            </w:r>
          </w:p>
        </w:tc>
      </w:tr>
    </w:tbl>
    <w:p>
      <w:pPr>
        <w:spacing w:before="0" w:after="120" w:line="276" w:lineRule="auto"/>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7"/>
      </w:rPr>
      <w:t>Preliminary Research Dossier — Individual Inventor (India)</w:t>
    </w:r>
    <w:r>
      <w:rPr>
        <w:rFonts w:ascii="Arial" w:hAnsi="Arial"/>
        <w:color w:val="94A3B8"/>
        <w:sz w:val="17"/>
      </w:rPr>
      <w:tab/>
      <w:tab/>
      <w:t>Document Version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HISABHERO: TECHNICAL INVENTION &amp; PATENTABILITY DOSSIER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