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Calibri" w:hAnsi="Calibri"/>
          <w:b/>
          <w:color w:val="2E5597"/>
          <w:sz w:val="30"/>
        </w:rPr>
        <w:t>IBM SkillsBuild Data Analytics with AI</w:t>
        <w:br/>
        <w:t>Academic Internship Program</w:t>
      </w:r>
    </w:p>
    <w:p>
      <w:pPr>
        <w:spacing w:after="720"/>
        <w:jc w:val="center"/>
      </w:pPr>
      <w:r>
        <w:rPr>
          <w:rFonts w:ascii="Calibri" w:hAnsi="Calibri"/>
          <w:i/>
          <w:color w:val="6E6E6E"/>
          <w:sz w:val="24"/>
        </w:rPr>
        <w:t>Conducted by BharatCares in Association with AICTE</w:t>
      </w:r>
    </w:p>
    <w:p>
      <w:pPr>
        <w:spacing w:after="240"/>
        <w:jc w:val="center"/>
      </w:pPr>
      <w:r>
        <w:rPr>
          <w:rFonts w:ascii="Calibri" w:hAnsi="Calibri"/>
          <w:b/>
          <w:color w:val="505050"/>
          <w:sz w:val="26"/>
        </w:rPr>
        <w:t>INTERNSHIP PROJECT REPORT</w:t>
      </w:r>
    </w:p>
    <w:p>
      <w:pPr>
        <w:spacing w:before="240" w:after="400"/>
        <w:jc w:val="center"/>
      </w:pPr>
      <w:r>
        <w:rPr>
          <w:rFonts w:ascii="Calibri" w:hAnsi="Calibri"/>
          <w:b/>
          <w:color w:val="1F4E79"/>
          <w:sz w:val="42"/>
        </w:rPr>
        <w:t>AI-POWERED RETAIL SALES ANALYTICS AND SALES PREDICTION</w:t>
      </w:r>
    </w:p>
    <w:p>
      <w:pPr>
        <w:spacing w:after="960"/>
        <w:jc w:val="center"/>
      </w:pPr>
      <w:r>
        <w:rPr>
          <w:rFonts w:ascii="Calibri" w:hAnsi="Calibri"/>
          <w:color w:val="2E5597"/>
          <w:sz w:val="24"/>
        </w:rPr>
        <w:t>Domain: Data Analytics using AI | Retail Demand Forecasting</w:t>
      </w:r>
    </w:p>
    <w:p>
      <w:pPr>
        <w:spacing w:before="720" w:after="80"/>
        <w:jc w:val="center"/>
      </w:pPr>
      <w:r>
        <w:rPr>
          <w:rFonts w:ascii="Calibri" w:hAnsi="Calibri"/>
          <w:color w:val="646464"/>
          <w:sz w:val="22"/>
        </w:rPr>
        <w:t>Submitted by:</w:t>
      </w:r>
    </w:p>
    <w:p>
      <w:pPr>
        <w:spacing w:after="960"/>
        <w:jc w:val="center"/>
      </w:pPr>
      <w:r>
        <w:rPr>
          <w:rFonts w:ascii="Calibri" w:hAnsi="Calibri"/>
          <w:b/>
          <w:color w:val="1F4E79"/>
          <w:sz w:val="30"/>
        </w:rPr>
        <w:t>THAMIZHARASAN M</w:t>
      </w:r>
    </w:p>
    <w:p>
      <w:pPr>
        <w:spacing w:before="480"/>
        <w:jc w:val="center"/>
      </w:pPr>
      <w:r>
        <w:rPr>
          <w:rFonts w:ascii="Calibri" w:hAnsi="Calibri"/>
          <w:color w:val="787878"/>
          <w:sz w:val="21"/>
        </w:rPr>
        <w:t>Academic Year 2025–2026</w:t>
        <w:br/>
        <w:t>BharatCares | AICTE | IBM SkillsBuild</w:t>
      </w:r>
    </w:p>
    <w:p>
      <w:r>
        <w:br w:type="page"/>
      </w:r>
    </w:p>
    <w:p>
      <w:pPr>
        <w:keepNext/>
        <w:spacing w:before="360" w:after="160"/>
      </w:pPr>
      <w:r>
        <w:rPr>
          <w:rFonts w:ascii="Calibri" w:hAnsi="Calibri"/>
          <w:b/>
          <w:color w:val="1F4E79"/>
          <w:sz w:val="32"/>
        </w:rPr>
        <w:t>STUDENT DECLARATION</w:t>
      </w:r>
    </w:p>
    <w:p>
      <w:pPr>
        <w:spacing w:after="120" w:before="0" w:line="276" w:lineRule="auto"/>
        <w:jc w:val="both"/>
      </w:pPr>
      <w:r>
        <w:rPr>
          <w:rFonts w:ascii="Calibri" w:hAnsi="Calibri"/>
          <w:color w:val="282828"/>
          <w:sz w:val="22"/>
        </w:rPr>
        <w:t>I, Thamizharasan M, hereby declare that the internship project entitled "AI-Powered Retail Sales Analytics and Sales Prediction" submitted for the IBM SkillsBuild Data Analytics with AI Academic Internship Program conducted by BharatCares in association with AICTE, is an authentic record of independent project work completed by me under the guidelines provided. All datasets, preprocessing scripts, exploratory analyses, machine learning models, evaluations, and interactive dashboards described herein have been implemented and validated based on actual execution of the project codebase.</w:t>
      </w:r>
    </w:p>
    <w:p>
      <w:pPr>
        <w:spacing w:after="480" w:before="320" w:line="276" w:lineRule="auto"/>
        <w:jc w:val="both"/>
      </w:pPr>
      <w:r>
        <w:rPr>
          <w:rFonts w:ascii="Calibri" w:hAnsi="Calibri"/>
          <w:color w:val="282828"/>
          <w:sz w:val="22"/>
        </w:rPr>
        <w:t>Candidate Name: Thamizharasan M</w:t>
        <w:br/>
        <w:t>Domain: Data Analytics using AI</w:t>
        <w:br/>
        <w:t>Date: September 2026</w:t>
      </w:r>
    </w:p>
    <w:p>
      <w:pPr>
        <w:keepNext/>
        <w:spacing w:before="360" w:after="160"/>
      </w:pPr>
      <w:r>
        <w:rPr>
          <w:rFonts w:ascii="Calibri" w:hAnsi="Calibri"/>
          <w:b/>
          <w:color w:val="1F4E79"/>
          <w:sz w:val="32"/>
        </w:rPr>
        <w:t>ACKNOWLEDGEMENT</w:t>
      </w:r>
    </w:p>
    <w:p>
      <w:pPr>
        <w:spacing w:after="120" w:before="0" w:line="276" w:lineRule="auto"/>
        <w:jc w:val="both"/>
      </w:pPr>
      <w:r>
        <w:rPr>
          <w:rFonts w:ascii="Calibri" w:hAnsi="Calibri"/>
          <w:color w:val="282828"/>
          <w:sz w:val="22"/>
        </w:rPr>
        <w:t>I express my sincere gratitude to IBM SkillsBuild, BharatCares, and the All India Council for Technical Education (AICTE) for providing the opportunity, computational platform, and curriculum to undertake this academic internship in Data Analytics using AI. The structured learning modules and applied problem statements enabled me to bridge theoretical statistical knowledge with practical machine learning and modern retail analytics.</w:t>
      </w:r>
    </w:p>
    <w:p>
      <w:pPr>
        <w:spacing w:after="120" w:before="0" w:line="276" w:lineRule="auto"/>
        <w:jc w:val="both"/>
      </w:pPr>
      <w:r>
        <w:rPr>
          <w:rFonts w:ascii="Calibri" w:hAnsi="Calibri"/>
          <w:color w:val="282828"/>
          <w:sz w:val="22"/>
        </w:rPr>
        <w:t>I also thank the mentors, program coordinators, and open-source software communities (Python, Pandas, Scikit-learn, XGBoost, and Streamlit) whose foundational tools and documentation made the robust realization of this predictive system possible.</w:t>
      </w:r>
    </w:p>
    <w:p>
      <w:r>
        <w:br w:type="page"/>
      </w:r>
    </w:p>
    <w:p>
      <w:pPr>
        <w:keepNext/>
        <w:spacing w:before="360" w:after="160"/>
      </w:pPr>
      <w:r>
        <w:rPr>
          <w:rFonts w:ascii="Calibri" w:hAnsi="Calibri"/>
          <w:b/>
          <w:color w:val="1F4E79"/>
          <w:sz w:val="32"/>
        </w:rPr>
        <w:t>ABSTRACT</w:t>
      </w:r>
    </w:p>
    <w:p>
      <w:pPr>
        <w:spacing w:after="120" w:before="0" w:line="276" w:lineRule="auto"/>
        <w:jc w:val="both"/>
      </w:pPr>
      <w:r>
        <w:rPr>
          <w:rFonts w:ascii="Calibri" w:hAnsi="Calibri"/>
          <w:color w:val="282828"/>
          <w:sz w:val="22"/>
        </w:rPr>
        <w:t>In the contemporary retail enterprise, accurate sales forecasting is an essential operational pillar that governs inventory turnover, supply chain resilience, promotional scheduling, and workforce allocation. This project implements a comprehensive, end-to-end predictive analytics system using historical sales records from 45 Walmart retail stores spanning 81 distinct departments between February 2010 and October 2012, with evaluation over test records extending into July 2013.</w:t>
      </w:r>
    </w:p>
    <w:p>
      <w:pPr>
        <w:spacing w:after="120" w:before="0" w:line="276" w:lineRule="auto"/>
        <w:jc w:val="both"/>
      </w:pPr>
      <w:r>
        <w:rPr>
          <w:rFonts w:ascii="Calibri" w:hAnsi="Calibri"/>
          <w:color w:val="282828"/>
          <w:sz w:val="22"/>
        </w:rPr>
        <w:t>The project follows a rigorous data science lifecycle. Data preprocessing involved multi-table relational merging across historical transactions, store master data, and localized economic features. Missing data in promotional markdown columns (50%–64% unrecorded prior to November 2011) were systematically imputed with zeros to denote non-promotional baselines, while localized economic series (Consumer Price Index and Unemployment) were imputed using median baselines. Twenty-three engineered features were synthesized, incorporating temporal breakdowns (Year, Month, WeekOfYear, DayOfWeek, Quarter), cyclical calendar indicators, store-type label encodings, and promotional markdown aggregates.</w:t>
      </w:r>
    </w:p>
    <w:p>
      <w:pPr>
        <w:spacing w:after="120" w:before="0" w:line="276" w:lineRule="auto"/>
        <w:jc w:val="both"/>
      </w:pPr>
      <w:r>
        <w:rPr>
          <w:rFonts w:ascii="Calibri" w:hAnsi="Calibri"/>
          <w:color w:val="282828"/>
          <w:sz w:val="22"/>
        </w:rPr>
        <w:t>To guarantee real-world generalization and prevent temporal data leakage, a strict time-based split was enforced at July 1, 2012 (training on February 2010 – June 2012; validating on July 2012 – October 2012). Five machine learning models were developed and systematically evaluated: a Naive Historical Mean Baseline, Ordinary Least Squares Linear Regression, Random Forest Regressor, Histogram-based Gradient Boosting, and eXtreme Gradient Boosting (XGBoost). Model selection was programmatically governed by validation Root Mean Squared Error (RMSE).</w:t>
      </w:r>
    </w:p>
    <w:p>
      <w:pPr>
        <w:spacing w:after="120" w:before="0" w:line="276" w:lineRule="auto"/>
        <w:jc w:val="both"/>
      </w:pPr>
      <w:r>
        <w:rPr>
          <w:rFonts w:ascii="Calibri" w:hAnsi="Calibri"/>
          <w:color w:val="282828"/>
          <w:sz w:val="22"/>
        </w:rPr>
        <w:t>The Random Forest Regressor achieved superior performance, recording a validation Mean Absolute Error (MAE) of $2,075.79, an RMSE of $4,005.37, an R-squared of 0.9668 (explaining 96.68% of sales variance), and a Mean Absolute Percentage Error (MAPE) of 29.84%, outperforming XGBoost ($4,261.48 RMSE, R²=0.9624) and Linear Regression ($20,963.37 RMSE, R²=0.0893). Permutation importance revealed that Department identity (64.7%) and Store Size (19.1%) represent 83.8% of aggregate predictive importance, while external macroeconomic indicators exhibited weak direct linear correlation. The selected model generated 115,064 weekly department-level sales forecasts for the test horizon. An interactive 8-page Streamlit web dashboard and an automated test suite comprising 16 unit tests (100% pass rate) were developed to ensure practical operational utility and enterprise reproducibility.</w:t>
      </w:r>
    </w:p>
    <w:p>
      <w:pPr>
        <w:spacing w:before="240" w:after="360"/>
      </w:pPr>
      <w:r>
        <w:rPr>
          <w:rFonts w:ascii="Calibri" w:hAnsi="Calibri"/>
          <w:b/>
        </w:rPr>
        <w:t xml:space="preserve">Keywords: </w:t>
      </w:r>
      <w:r>
        <w:rPr>
          <w:rFonts w:ascii="Calibri" w:hAnsi="Calibri"/>
          <w:i/>
        </w:rPr>
        <w:t>Retail Sales Analytics, Demand Forecasting, Random Forest, XGBoost, Time-Series Validation, Feature Engineering, Permutation Importance, Streamlit Dashboard.</w:t>
      </w:r>
    </w:p>
    <w:p>
      <w:r>
        <w:br w:type="page"/>
      </w:r>
    </w:p>
    <w:p>
      <w:pPr>
        <w:keepNext/>
        <w:spacing w:before="360" w:after="160"/>
      </w:pPr>
      <w:r>
        <w:rPr>
          <w:rFonts w:ascii="Calibri" w:hAnsi="Calibri"/>
          <w:b/>
          <w:color w:val="1F4E79"/>
          <w:sz w:val="32"/>
        </w:rPr>
        <w:t>TABLE OF CONTENTS</w:t>
      </w:r>
    </w:p>
    <w:tbl>
      <w:tblPr>
        <w:tblW w:type="auto" w:w="0"/>
        <w:jc w:val="center"/>
        <w:tblLook w:firstColumn="1" w:firstRow="1" w:lastColumn="0" w:lastRow="0" w:noHBand="0" w:noVBand="1" w:val="04A0"/>
      </w:tblPr>
      <w:tblGrid>
        <w:gridCol w:w="4680"/>
        <w:gridCol w:w="4680"/>
      </w:tblGrid>
      <w:tr>
        <w:tc>
          <w:tcPr>
            <w:tcW w:type="dxa" w:w="8352"/>
            <w:tcMar>
              <w:top w:w="40" w:type="dxa"/>
              <w:bottom w:w="40" w:type="dxa"/>
              <w:left w:w="50" w:type="dxa"/>
              <w:right w:w="50" w:type="dxa"/>
            </w:tcMar>
          </w:tcPr>
          <w:p>
            <w:r>
              <w:rPr>
                <w:rFonts w:ascii="Calibri" w:hAnsi="Calibri"/>
                <w:b/>
                <w:sz w:val="20"/>
              </w:rPr>
              <w:t>1. Introduction</w:t>
            </w:r>
          </w:p>
        </w:tc>
        <w:tc>
          <w:tcPr>
            <w:tcW w:type="dxa" w:w="1008"/>
            <w:tcMar>
              <w:top w:w="40" w:type="dxa"/>
              <w:bottom w:w="40" w:type="dxa"/>
              <w:left w:w="50" w:type="dxa"/>
              <w:right w:w="50" w:type="dxa"/>
            </w:tcMar>
          </w:tcPr>
          <w:p>
            <w:pPr>
              <w:jc w:val="right"/>
            </w:pPr>
            <w:r>
              <w:rPr>
                <w:rFonts w:ascii="Calibri" w:hAnsi="Calibri"/>
                <w:b/>
                <w:sz w:val="20"/>
              </w:rPr>
              <w:t>5</w:t>
            </w:r>
          </w:p>
        </w:tc>
      </w:tr>
      <w:tr>
        <w:tc>
          <w:tcPr>
            <w:tcW w:type="dxa" w:w="8352"/>
            <w:tcMar>
              <w:top w:w="40" w:type="dxa"/>
              <w:bottom w:w="40" w:type="dxa"/>
              <w:left w:w="50" w:type="dxa"/>
              <w:right w:w="50" w:type="dxa"/>
            </w:tcMar>
          </w:tcPr>
          <w:p>
            <w:r>
              <w:rPr>
                <w:rFonts w:ascii="Calibri" w:hAnsi="Calibri"/>
                <w:sz w:val="20"/>
              </w:rPr>
              <w:t>2. Background and Problem Context</w:t>
            </w:r>
          </w:p>
        </w:tc>
        <w:tc>
          <w:tcPr>
            <w:tcW w:type="dxa" w:w="1008"/>
            <w:tcMar>
              <w:top w:w="40" w:type="dxa"/>
              <w:bottom w:w="40" w:type="dxa"/>
              <w:left w:w="50" w:type="dxa"/>
              <w:right w:w="50" w:type="dxa"/>
            </w:tcMar>
          </w:tcPr>
          <w:p>
            <w:pPr>
              <w:jc w:val="right"/>
            </w:pPr>
            <w:r>
              <w:rPr>
                <w:rFonts w:ascii="Calibri" w:hAnsi="Calibri"/>
                <w:sz w:val="20"/>
              </w:rPr>
              <w:t>6</w:t>
            </w:r>
          </w:p>
        </w:tc>
      </w:tr>
      <w:tr>
        <w:tc>
          <w:tcPr>
            <w:tcW w:type="dxa" w:w="8352"/>
            <w:tcMar>
              <w:top w:w="40" w:type="dxa"/>
              <w:bottom w:w="40" w:type="dxa"/>
              <w:left w:w="50" w:type="dxa"/>
              <w:right w:w="50" w:type="dxa"/>
            </w:tcMar>
          </w:tcPr>
          <w:p>
            <w:r>
              <w:rPr>
                <w:rFonts w:ascii="Calibri" w:hAnsi="Calibri"/>
                <w:sz w:val="20"/>
              </w:rPr>
              <w:t>3. Problem Statement</w:t>
            </w:r>
          </w:p>
        </w:tc>
        <w:tc>
          <w:tcPr>
            <w:tcW w:type="dxa" w:w="1008"/>
            <w:tcMar>
              <w:top w:w="40" w:type="dxa"/>
              <w:bottom w:w="40" w:type="dxa"/>
              <w:left w:w="50" w:type="dxa"/>
              <w:right w:w="50" w:type="dxa"/>
            </w:tcMar>
          </w:tcPr>
          <w:p>
            <w:pPr>
              <w:jc w:val="right"/>
            </w:pPr>
            <w:r>
              <w:rPr>
                <w:rFonts w:ascii="Calibri" w:hAnsi="Calibri"/>
                <w:sz w:val="20"/>
              </w:rPr>
              <w:t>7</w:t>
            </w:r>
          </w:p>
        </w:tc>
      </w:tr>
      <w:tr>
        <w:tc>
          <w:tcPr>
            <w:tcW w:type="dxa" w:w="8352"/>
            <w:tcMar>
              <w:top w:w="40" w:type="dxa"/>
              <w:bottom w:w="40" w:type="dxa"/>
              <w:left w:w="50" w:type="dxa"/>
              <w:right w:w="50" w:type="dxa"/>
            </w:tcMar>
          </w:tcPr>
          <w:p>
            <w:r>
              <w:rPr>
                <w:rFonts w:ascii="Calibri" w:hAnsi="Calibri"/>
                <w:sz w:val="20"/>
              </w:rPr>
              <w:t>4. Project Objectives</w:t>
            </w:r>
          </w:p>
        </w:tc>
        <w:tc>
          <w:tcPr>
            <w:tcW w:type="dxa" w:w="1008"/>
            <w:tcMar>
              <w:top w:w="40" w:type="dxa"/>
              <w:bottom w:w="40" w:type="dxa"/>
              <w:left w:w="50" w:type="dxa"/>
              <w:right w:w="50" w:type="dxa"/>
            </w:tcMar>
          </w:tcPr>
          <w:p>
            <w:pPr>
              <w:jc w:val="right"/>
            </w:pPr>
            <w:r>
              <w:rPr>
                <w:rFonts w:ascii="Calibri" w:hAnsi="Calibri"/>
                <w:sz w:val="20"/>
              </w:rPr>
              <w:t>7</w:t>
            </w:r>
          </w:p>
        </w:tc>
      </w:tr>
      <w:tr>
        <w:tc>
          <w:tcPr>
            <w:tcW w:type="dxa" w:w="8352"/>
            <w:tcMar>
              <w:top w:w="40" w:type="dxa"/>
              <w:bottom w:w="40" w:type="dxa"/>
              <w:left w:w="50" w:type="dxa"/>
              <w:right w:w="50" w:type="dxa"/>
            </w:tcMar>
          </w:tcPr>
          <w:p>
            <w:r>
              <w:rPr>
                <w:rFonts w:ascii="Calibri" w:hAnsi="Calibri"/>
                <w:sz w:val="20"/>
              </w:rPr>
              <w:t>5. Project Scope</w:t>
            </w:r>
          </w:p>
        </w:tc>
        <w:tc>
          <w:tcPr>
            <w:tcW w:type="dxa" w:w="1008"/>
            <w:tcMar>
              <w:top w:w="40" w:type="dxa"/>
              <w:bottom w:w="40" w:type="dxa"/>
              <w:left w:w="50" w:type="dxa"/>
              <w:right w:w="50" w:type="dxa"/>
            </w:tcMar>
          </w:tcPr>
          <w:p>
            <w:pPr>
              <w:jc w:val="right"/>
            </w:pPr>
            <w:r>
              <w:rPr>
                <w:rFonts w:ascii="Calibri" w:hAnsi="Calibri"/>
                <w:sz w:val="20"/>
              </w:rPr>
              <w:t>8</w:t>
            </w:r>
          </w:p>
        </w:tc>
      </w:tr>
      <w:tr>
        <w:tc>
          <w:tcPr>
            <w:tcW w:type="dxa" w:w="8352"/>
            <w:tcMar>
              <w:top w:w="40" w:type="dxa"/>
              <w:bottom w:w="40" w:type="dxa"/>
              <w:left w:w="50" w:type="dxa"/>
              <w:right w:w="50" w:type="dxa"/>
            </w:tcMar>
          </w:tcPr>
          <w:p>
            <w:r>
              <w:rPr>
                <w:rFonts w:ascii="Calibri" w:hAnsi="Calibri"/>
                <w:b/>
                <w:sz w:val="20"/>
              </w:rPr>
              <w:t>6. Dataset Description and Characteristics</w:t>
            </w:r>
          </w:p>
        </w:tc>
        <w:tc>
          <w:tcPr>
            <w:tcW w:type="dxa" w:w="1008"/>
            <w:tcMar>
              <w:top w:w="40" w:type="dxa"/>
              <w:bottom w:w="40" w:type="dxa"/>
              <w:left w:w="50" w:type="dxa"/>
              <w:right w:w="50" w:type="dxa"/>
            </w:tcMar>
          </w:tcPr>
          <w:p>
            <w:pPr>
              <w:jc w:val="right"/>
            </w:pPr>
            <w:r>
              <w:rPr>
                <w:rFonts w:ascii="Calibri" w:hAnsi="Calibri"/>
                <w:b/>
                <w:sz w:val="20"/>
              </w:rPr>
              <w:t>9</w:t>
            </w:r>
          </w:p>
        </w:tc>
      </w:tr>
      <w:tr>
        <w:tc>
          <w:tcPr>
            <w:tcW w:type="dxa" w:w="8352"/>
            <w:tcMar>
              <w:top w:w="40" w:type="dxa"/>
              <w:bottom w:w="40" w:type="dxa"/>
              <w:left w:w="50" w:type="dxa"/>
              <w:right w:w="50" w:type="dxa"/>
            </w:tcMar>
          </w:tcPr>
          <w:p>
            <w:r>
              <w:rPr>
                <w:rFonts w:ascii="Calibri" w:hAnsi="Calibri"/>
                <w:sz w:val="20"/>
              </w:rPr>
              <w:t>7. Data Understanding and Preprocessing</w:t>
            </w:r>
          </w:p>
        </w:tc>
        <w:tc>
          <w:tcPr>
            <w:tcW w:type="dxa" w:w="1008"/>
            <w:tcMar>
              <w:top w:w="40" w:type="dxa"/>
              <w:bottom w:w="40" w:type="dxa"/>
              <w:left w:w="50" w:type="dxa"/>
              <w:right w:w="50" w:type="dxa"/>
            </w:tcMar>
          </w:tcPr>
          <w:p>
            <w:pPr>
              <w:jc w:val="right"/>
            </w:pPr>
            <w:r>
              <w:rPr>
                <w:rFonts w:ascii="Calibri" w:hAnsi="Calibri"/>
                <w:sz w:val="20"/>
              </w:rPr>
              <w:t>11</w:t>
            </w:r>
          </w:p>
        </w:tc>
      </w:tr>
      <w:tr>
        <w:tc>
          <w:tcPr>
            <w:tcW w:type="dxa" w:w="8352"/>
            <w:tcMar>
              <w:top w:w="40" w:type="dxa"/>
              <w:bottom w:w="40" w:type="dxa"/>
              <w:left w:w="50" w:type="dxa"/>
              <w:right w:w="50" w:type="dxa"/>
            </w:tcMar>
          </w:tcPr>
          <w:p>
            <w:r>
              <w:rPr>
                <w:rFonts w:ascii="Calibri" w:hAnsi="Calibri"/>
                <w:b/>
                <w:sz w:val="20"/>
              </w:rPr>
              <w:t>8. Exploratory Data Analysis (EDA)</w:t>
            </w:r>
          </w:p>
        </w:tc>
        <w:tc>
          <w:tcPr>
            <w:tcW w:type="dxa" w:w="1008"/>
            <w:tcMar>
              <w:top w:w="40" w:type="dxa"/>
              <w:bottom w:w="40" w:type="dxa"/>
              <w:left w:w="50" w:type="dxa"/>
              <w:right w:w="50" w:type="dxa"/>
            </w:tcMar>
          </w:tcPr>
          <w:p>
            <w:pPr>
              <w:jc w:val="right"/>
            </w:pPr>
            <w:r>
              <w:rPr>
                <w:rFonts w:ascii="Calibri" w:hAnsi="Calibri"/>
                <w:b/>
                <w:sz w:val="20"/>
              </w:rPr>
              <w:t>13</w:t>
            </w:r>
          </w:p>
        </w:tc>
      </w:tr>
      <w:tr>
        <w:tc>
          <w:tcPr>
            <w:tcW w:type="dxa" w:w="8352"/>
            <w:tcMar>
              <w:top w:w="40" w:type="dxa"/>
              <w:bottom w:w="40" w:type="dxa"/>
              <w:left w:w="50" w:type="dxa"/>
              <w:right w:w="50" w:type="dxa"/>
            </w:tcMar>
          </w:tcPr>
          <w:p>
            <w:r>
              <w:rPr>
                <w:rFonts w:ascii="Calibri" w:hAnsi="Calibri"/>
                <w:sz w:val="20"/>
              </w:rPr>
              <w:t>9. Feature Engineering</w:t>
            </w:r>
          </w:p>
        </w:tc>
        <w:tc>
          <w:tcPr>
            <w:tcW w:type="dxa" w:w="1008"/>
            <w:tcMar>
              <w:top w:w="40" w:type="dxa"/>
              <w:bottom w:w="40" w:type="dxa"/>
              <w:left w:w="50" w:type="dxa"/>
              <w:right w:w="50" w:type="dxa"/>
            </w:tcMar>
          </w:tcPr>
          <w:p>
            <w:pPr>
              <w:jc w:val="right"/>
            </w:pPr>
            <w:r>
              <w:rPr>
                <w:rFonts w:ascii="Calibri" w:hAnsi="Calibri"/>
                <w:sz w:val="20"/>
              </w:rPr>
              <w:t>19</w:t>
            </w:r>
          </w:p>
        </w:tc>
      </w:tr>
      <w:tr>
        <w:tc>
          <w:tcPr>
            <w:tcW w:type="dxa" w:w="8352"/>
            <w:tcMar>
              <w:top w:w="40" w:type="dxa"/>
              <w:bottom w:w="40" w:type="dxa"/>
              <w:left w:w="50" w:type="dxa"/>
              <w:right w:w="50" w:type="dxa"/>
            </w:tcMar>
          </w:tcPr>
          <w:p>
            <w:r>
              <w:rPr>
                <w:rFonts w:ascii="Calibri" w:hAnsi="Calibri"/>
                <w:b/>
                <w:sz w:val="20"/>
              </w:rPr>
              <w:t>10. Machine Learning Methodology</w:t>
            </w:r>
          </w:p>
        </w:tc>
        <w:tc>
          <w:tcPr>
            <w:tcW w:type="dxa" w:w="1008"/>
            <w:tcMar>
              <w:top w:w="40" w:type="dxa"/>
              <w:bottom w:w="40" w:type="dxa"/>
              <w:left w:w="50" w:type="dxa"/>
              <w:right w:w="50" w:type="dxa"/>
            </w:tcMar>
          </w:tcPr>
          <w:p>
            <w:pPr>
              <w:jc w:val="right"/>
            </w:pPr>
            <w:r>
              <w:rPr>
                <w:rFonts w:ascii="Calibri" w:hAnsi="Calibri"/>
                <w:b/>
                <w:sz w:val="20"/>
              </w:rPr>
              <w:t>21</w:t>
            </w:r>
          </w:p>
        </w:tc>
      </w:tr>
      <w:tr>
        <w:tc>
          <w:tcPr>
            <w:tcW w:type="dxa" w:w="8352"/>
            <w:tcMar>
              <w:top w:w="40" w:type="dxa"/>
              <w:bottom w:w="40" w:type="dxa"/>
              <w:left w:w="50" w:type="dxa"/>
              <w:right w:w="50" w:type="dxa"/>
            </w:tcMar>
          </w:tcPr>
          <w:p>
            <w:r>
              <w:rPr>
                <w:rFonts w:ascii="Calibri" w:hAnsi="Calibri"/>
                <w:sz w:val="20"/>
              </w:rPr>
              <w:t>11. Machine Learning Models</w:t>
            </w:r>
          </w:p>
        </w:tc>
        <w:tc>
          <w:tcPr>
            <w:tcW w:type="dxa" w:w="1008"/>
            <w:tcMar>
              <w:top w:w="40" w:type="dxa"/>
              <w:bottom w:w="40" w:type="dxa"/>
              <w:left w:w="50" w:type="dxa"/>
              <w:right w:w="50" w:type="dxa"/>
            </w:tcMar>
          </w:tcPr>
          <w:p>
            <w:pPr>
              <w:jc w:val="right"/>
            </w:pPr>
            <w:r>
              <w:rPr>
                <w:rFonts w:ascii="Calibri" w:hAnsi="Calibri"/>
                <w:sz w:val="20"/>
              </w:rPr>
              <w:t>22</w:t>
            </w:r>
          </w:p>
        </w:tc>
      </w:tr>
      <w:tr>
        <w:tc>
          <w:tcPr>
            <w:tcW w:type="dxa" w:w="8352"/>
            <w:tcMar>
              <w:top w:w="40" w:type="dxa"/>
              <w:bottom w:w="40" w:type="dxa"/>
              <w:left w:w="50" w:type="dxa"/>
              <w:right w:w="50" w:type="dxa"/>
            </w:tcMar>
          </w:tcPr>
          <w:p>
            <w:r>
              <w:rPr>
                <w:rFonts w:ascii="Calibri" w:hAnsi="Calibri"/>
                <w:b/>
                <w:sz w:val="20"/>
              </w:rPr>
              <w:t>12. Model Evaluation and Comparison</w:t>
            </w:r>
          </w:p>
        </w:tc>
        <w:tc>
          <w:tcPr>
            <w:tcW w:type="dxa" w:w="1008"/>
            <w:tcMar>
              <w:top w:w="40" w:type="dxa"/>
              <w:bottom w:w="40" w:type="dxa"/>
              <w:left w:w="50" w:type="dxa"/>
              <w:right w:w="50" w:type="dxa"/>
            </w:tcMar>
          </w:tcPr>
          <w:p>
            <w:pPr>
              <w:jc w:val="right"/>
            </w:pPr>
            <w:r>
              <w:rPr>
                <w:rFonts w:ascii="Calibri" w:hAnsi="Calibri"/>
                <w:b/>
                <w:sz w:val="20"/>
              </w:rPr>
              <w:t>24</w:t>
            </w:r>
          </w:p>
        </w:tc>
      </w:tr>
      <w:tr>
        <w:tc>
          <w:tcPr>
            <w:tcW w:type="dxa" w:w="8352"/>
            <w:tcMar>
              <w:top w:w="40" w:type="dxa"/>
              <w:bottom w:w="40" w:type="dxa"/>
              <w:left w:w="50" w:type="dxa"/>
              <w:right w:w="50" w:type="dxa"/>
            </w:tcMar>
          </w:tcPr>
          <w:p>
            <w:r>
              <w:rPr>
                <w:rFonts w:ascii="Calibri" w:hAnsi="Calibri"/>
                <w:sz w:val="20"/>
              </w:rPr>
              <w:t>13. Final Model Selection and Test Prediction</w:t>
            </w:r>
          </w:p>
        </w:tc>
        <w:tc>
          <w:tcPr>
            <w:tcW w:type="dxa" w:w="1008"/>
            <w:tcMar>
              <w:top w:w="40" w:type="dxa"/>
              <w:bottom w:w="40" w:type="dxa"/>
              <w:left w:w="50" w:type="dxa"/>
              <w:right w:w="50" w:type="dxa"/>
            </w:tcMar>
          </w:tcPr>
          <w:p>
            <w:pPr>
              <w:jc w:val="right"/>
            </w:pPr>
            <w:r>
              <w:rPr>
                <w:rFonts w:ascii="Calibri" w:hAnsi="Calibri"/>
                <w:sz w:val="20"/>
              </w:rPr>
              <w:t>26</w:t>
            </w:r>
          </w:p>
        </w:tc>
      </w:tr>
      <w:tr>
        <w:tc>
          <w:tcPr>
            <w:tcW w:type="dxa" w:w="8352"/>
            <w:tcMar>
              <w:top w:w="40" w:type="dxa"/>
              <w:bottom w:w="40" w:type="dxa"/>
              <w:left w:w="50" w:type="dxa"/>
              <w:right w:w="50" w:type="dxa"/>
            </w:tcMar>
          </w:tcPr>
          <w:p>
            <w:r>
              <w:rPr>
                <w:rFonts w:ascii="Calibri" w:hAnsi="Calibri"/>
                <w:sz w:val="20"/>
              </w:rPr>
              <w:t>14. Actionable Business Insights</w:t>
            </w:r>
          </w:p>
        </w:tc>
        <w:tc>
          <w:tcPr>
            <w:tcW w:type="dxa" w:w="1008"/>
            <w:tcMar>
              <w:top w:w="40" w:type="dxa"/>
              <w:bottom w:w="40" w:type="dxa"/>
              <w:left w:w="50" w:type="dxa"/>
              <w:right w:w="50" w:type="dxa"/>
            </w:tcMar>
          </w:tcPr>
          <w:p>
            <w:pPr>
              <w:jc w:val="right"/>
            </w:pPr>
            <w:r>
              <w:rPr>
                <w:rFonts w:ascii="Calibri" w:hAnsi="Calibri"/>
                <w:sz w:val="20"/>
              </w:rPr>
              <w:t>27</w:t>
            </w:r>
          </w:p>
        </w:tc>
      </w:tr>
      <w:tr>
        <w:tc>
          <w:tcPr>
            <w:tcW w:type="dxa" w:w="8352"/>
            <w:tcMar>
              <w:top w:w="40" w:type="dxa"/>
              <w:bottom w:w="40" w:type="dxa"/>
              <w:left w:w="50" w:type="dxa"/>
              <w:right w:w="50" w:type="dxa"/>
            </w:tcMar>
          </w:tcPr>
          <w:p>
            <w:r>
              <w:rPr>
                <w:rFonts w:ascii="Calibri" w:hAnsi="Calibri"/>
                <w:sz w:val="20"/>
              </w:rPr>
              <w:t>15. System Architecture and Workflow</w:t>
            </w:r>
          </w:p>
        </w:tc>
        <w:tc>
          <w:tcPr>
            <w:tcW w:type="dxa" w:w="1008"/>
            <w:tcMar>
              <w:top w:w="40" w:type="dxa"/>
              <w:bottom w:w="40" w:type="dxa"/>
              <w:left w:w="50" w:type="dxa"/>
              <w:right w:w="50" w:type="dxa"/>
            </w:tcMar>
          </w:tcPr>
          <w:p>
            <w:pPr>
              <w:jc w:val="right"/>
            </w:pPr>
            <w:r>
              <w:rPr>
                <w:rFonts w:ascii="Calibri" w:hAnsi="Calibri"/>
                <w:sz w:val="20"/>
              </w:rPr>
              <w:t>29</w:t>
            </w:r>
          </w:p>
        </w:tc>
      </w:tr>
      <w:tr>
        <w:tc>
          <w:tcPr>
            <w:tcW w:type="dxa" w:w="8352"/>
            <w:tcMar>
              <w:top w:w="40" w:type="dxa"/>
              <w:bottom w:w="40" w:type="dxa"/>
              <w:left w:w="50" w:type="dxa"/>
              <w:right w:w="50" w:type="dxa"/>
            </w:tcMar>
          </w:tcPr>
          <w:p>
            <w:r>
              <w:rPr>
                <w:rFonts w:ascii="Calibri" w:hAnsi="Calibri"/>
                <w:sz w:val="20"/>
              </w:rPr>
              <w:t>16. Implementation Details and Technology Stack</w:t>
            </w:r>
          </w:p>
        </w:tc>
        <w:tc>
          <w:tcPr>
            <w:tcW w:type="dxa" w:w="1008"/>
            <w:tcMar>
              <w:top w:w="40" w:type="dxa"/>
              <w:bottom w:w="40" w:type="dxa"/>
              <w:left w:w="50" w:type="dxa"/>
              <w:right w:w="50" w:type="dxa"/>
            </w:tcMar>
          </w:tcPr>
          <w:p>
            <w:pPr>
              <w:jc w:val="right"/>
            </w:pPr>
            <w:r>
              <w:rPr>
                <w:rFonts w:ascii="Calibri" w:hAnsi="Calibri"/>
                <w:sz w:val="20"/>
              </w:rPr>
              <w:t>30</w:t>
            </w:r>
          </w:p>
        </w:tc>
      </w:tr>
      <w:tr>
        <w:tc>
          <w:tcPr>
            <w:tcW w:type="dxa" w:w="8352"/>
            <w:tcMar>
              <w:top w:w="40" w:type="dxa"/>
              <w:bottom w:w="40" w:type="dxa"/>
              <w:left w:w="50" w:type="dxa"/>
              <w:right w:w="50" w:type="dxa"/>
            </w:tcMar>
          </w:tcPr>
          <w:p>
            <w:r>
              <w:rPr>
                <w:rFonts w:ascii="Calibri" w:hAnsi="Calibri"/>
                <w:sz w:val="20"/>
              </w:rPr>
              <w:t>17. Testing, Verification, and Quality Assurance</w:t>
            </w:r>
          </w:p>
        </w:tc>
        <w:tc>
          <w:tcPr>
            <w:tcW w:type="dxa" w:w="1008"/>
            <w:tcMar>
              <w:top w:w="40" w:type="dxa"/>
              <w:bottom w:w="40" w:type="dxa"/>
              <w:left w:w="50" w:type="dxa"/>
              <w:right w:w="50" w:type="dxa"/>
            </w:tcMar>
          </w:tcPr>
          <w:p>
            <w:pPr>
              <w:jc w:val="right"/>
            </w:pPr>
            <w:r>
              <w:rPr>
                <w:rFonts w:ascii="Calibri" w:hAnsi="Calibri"/>
                <w:sz w:val="20"/>
              </w:rPr>
              <w:t>31</w:t>
            </w:r>
          </w:p>
        </w:tc>
      </w:tr>
      <w:tr>
        <w:tc>
          <w:tcPr>
            <w:tcW w:type="dxa" w:w="8352"/>
            <w:tcMar>
              <w:top w:w="40" w:type="dxa"/>
              <w:bottom w:w="40" w:type="dxa"/>
              <w:left w:w="50" w:type="dxa"/>
              <w:right w:w="50" w:type="dxa"/>
            </w:tcMar>
          </w:tcPr>
          <w:p>
            <w:r>
              <w:rPr>
                <w:rFonts w:ascii="Calibri" w:hAnsi="Calibri"/>
                <w:b/>
                <w:sz w:val="20"/>
              </w:rPr>
              <w:t>18. Results and Discussion</w:t>
            </w:r>
          </w:p>
        </w:tc>
        <w:tc>
          <w:tcPr>
            <w:tcW w:type="dxa" w:w="1008"/>
            <w:tcMar>
              <w:top w:w="40" w:type="dxa"/>
              <w:bottom w:w="40" w:type="dxa"/>
              <w:left w:w="50" w:type="dxa"/>
              <w:right w:w="50" w:type="dxa"/>
            </w:tcMar>
          </w:tcPr>
          <w:p>
            <w:pPr>
              <w:jc w:val="right"/>
            </w:pPr>
            <w:r>
              <w:rPr>
                <w:rFonts w:ascii="Calibri" w:hAnsi="Calibri"/>
                <w:b/>
                <w:sz w:val="20"/>
              </w:rPr>
              <w:t>32</w:t>
            </w:r>
          </w:p>
        </w:tc>
      </w:tr>
      <w:tr>
        <w:tc>
          <w:tcPr>
            <w:tcW w:type="dxa" w:w="8352"/>
            <w:tcMar>
              <w:top w:w="40" w:type="dxa"/>
              <w:bottom w:w="40" w:type="dxa"/>
              <w:left w:w="50" w:type="dxa"/>
              <w:right w:w="50" w:type="dxa"/>
            </w:tcMar>
          </w:tcPr>
          <w:p>
            <w:r>
              <w:rPr>
                <w:rFonts w:ascii="Calibri" w:hAnsi="Calibri"/>
                <w:sz w:val="20"/>
              </w:rPr>
              <w:t>19. Project Limitations</w:t>
            </w:r>
          </w:p>
        </w:tc>
        <w:tc>
          <w:tcPr>
            <w:tcW w:type="dxa" w:w="1008"/>
            <w:tcMar>
              <w:top w:w="40" w:type="dxa"/>
              <w:bottom w:w="40" w:type="dxa"/>
              <w:left w:w="50" w:type="dxa"/>
              <w:right w:w="50" w:type="dxa"/>
            </w:tcMar>
          </w:tcPr>
          <w:p>
            <w:pPr>
              <w:jc w:val="right"/>
            </w:pPr>
            <w:r>
              <w:rPr>
                <w:rFonts w:ascii="Calibri" w:hAnsi="Calibri"/>
                <w:sz w:val="20"/>
              </w:rPr>
              <w:t>35</w:t>
            </w:r>
          </w:p>
        </w:tc>
      </w:tr>
      <w:tr>
        <w:tc>
          <w:tcPr>
            <w:tcW w:type="dxa" w:w="8352"/>
            <w:tcMar>
              <w:top w:w="40" w:type="dxa"/>
              <w:bottom w:w="40" w:type="dxa"/>
              <w:left w:w="50" w:type="dxa"/>
              <w:right w:w="50" w:type="dxa"/>
            </w:tcMar>
          </w:tcPr>
          <w:p>
            <w:r>
              <w:rPr>
                <w:rFonts w:ascii="Calibri" w:hAnsi="Calibri"/>
                <w:sz w:val="20"/>
              </w:rPr>
              <w:t>20. Future Scope and Roadmap</w:t>
            </w:r>
          </w:p>
        </w:tc>
        <w:tc>
          <w:tcPr>
            <w:tcW w:type="dxa" w:w="1008"/>
            <w:tcMar>
              <w:top w:w="40" w:type="dxa"/>
              <w:bottom w:w="40" w:type="dxa"/>
              <w:left w:w="50" w:type="dxa"/>
              <w:right w:w="50" w:type="dxa"/>
            </w:tcMar>
          </w:tcPr>
          <w:p>
            <w:pPr>
              <w:jc w:val="right"/>
            </w:pPr>
            <w:r>
              <w:rPr>
                <w:rFonts w:ascii="Calibri" w:hAnsi="Calibri"/>
                <w:sz w:val="20"/>
              </w:rPr>
              <w:t>36</w:t>
            </w:r>
          </w:p>
        </w:tc>
      </w:tr>
      <w:tr>
        <w:tc>
          <w:tcPr>
            <w:tcW w:type="dxa" w:w="8352"/>
            <w:tcMar>
              <w:top w:w="40" w:type="dxa"/>
              <w:bottom w:w="40" w:type="dxa"/>
              <w:left w:w="50" w:type="dxa"/>
              <w:right w:w="50" w:type="dxa"/>
            </w:tcMar>
          </w:tcPr>
          <w:p>
            <w:r>
              <w:rPr>
                <w:rFonts w:ascii="Calibri" w:hAnsi="Calibri"/>
                <w:b/>
                <w:sz w:val="20"/>
              </w:rPr>
              <w:t>21. Conclusion</w:t>
            </w:r>
          </w:p>
        </w:tc>
        <w:tc>
          <w:tcPr>
            <w:tcW w:type="dxa" w:w="1008"/>
            <w:tcMar>
              <w:top w:w="40" w:type="dxa"/>
              <w:bottom w:w="40" w:type="dxa"/>
              <w:left w:w="50" w:type="dxa"/>
              <w:right w:w="50" w:type="dxa"/>
            </w:tcMar>
          </w:tcPr>
          <w:p>
            <w:pPr>
              <w:jc w:val="right"/>
            </w:pPr>
            <w:r>
              <w:rPr>
                <w:rFonts w:ascii="Calibri" w:hAnsi="Calibri"/>
                <w:b/>
                <w:sz w:val="20"/>
              </w:rPr>
              <w:t>37</w:t>
            </w:r>
          </w:p>
        </w:tc>
      </w:tr>
      <w:tr>
        <w:tc>
          <w:tcPr>
            <w:tcW w:type="dxa" w:w="8352"/>
            <w:tcMar>
              <w:top w:w="40" w:type="dxa"/>
              <w:bottom w:w="40" w:type="dxa"/>
              <w:left w:w="50" w:type="dxa"/>
              <w:right w:w="50" w:type="dxa"/>
            </w:tcMar>
          </w:tcPr>
          <w:p>
            <w:r>
              <w:rPr>
                <w:rFonts w:ascii="Calibri" w:hAnsi="Calibri"/>
                <w:sz w:val="20"/>
              </w:rPr>
              <w:t>22. Internship Learning Outcomes</w:t>
            </w:r>
          </w:p>
        </w:tc>
        <w:tc>
          <w:tcPr>
            <w:tcW w:type="dxa" w:w="1008"/>
            <w:tcMar>
              <w:top w:w="40" w:type="dxa"/>
              <w:bottom w:w="40" w:type="dxa"/>
              <w:left w:w="50" w:type="dxa"/>
              <w:right w:w="50" w:type="dxa"/>
            </w:tcMar>
          </w:tcPr>
          <w:p>
            <w:pPr>
              <w:jc w:val="right"/>
            </w:pPr>
            <w:r>
              <w:rPr>
                <w:rFonts w:ascii="Calibri" w:hAnsi="Calibri"/>
                <w:sz w:val="20"/>
              </w:rPr>
              <w:t>38</w:t>
            </w:r>
          </w:p>
        </w:tc>
      </w:tr>
      <w:tr>
        <w:tc>
          <w:tcPr>
            <w:tcW w:type="dxa" w:w="8352"/>
            <w:tcMar>
              <w:top w:w="40" w:type="dxa"/>
              <w:bottom w:w="40" w:type="dxa"/>
              <w:left w:w="50" w:type="dxa"/>
              <w:right w:w="50" w:type="dxa"/>
            </w:tcMar>
          </w:tcPr>
          <w:p>
            <w:r>
              <w:rPr>
                <w:rFonts w:ascii="Calibri" w:hAnsi="Calibri"/>
                <w:sz w:val="20"/>
              </w:rPr>
              <w:t>23. References</w:t>
            </w:r>
          </w:p>
        </w:tc>
        <w:tc>
          <w:tcPr>
            <w:tcW w:type="dxa" w:w="1008"/>
            <w:tcMar>
              <w:top w:w="40" w:type="dxa"/>
              <w:bottom w:w="40" w:type="dxa"/>
              <w:left w:w="50" w:type="dxa"/>
              <w:right w:w="50" w:type="dxa"/>
            </w:tcMar>
          </w:tcPr>
          <w:p>
            <w:pPr>
              <w:jc w:val="right"/>
            </w:pPr>
            <w:r>
              <w:rPr>
                <w:rFonts w:ascii="Calibri" w:hAnsi="Calibri"/>
                <w:sz w:val="20"/>
              </w:rPr>
              <w:t>39</w:t>
            </w:r>
          </w:p>
        </w:tc>
      </w:tr>
      <w:tr>
        <w:tc>
          <w:tcPr>
            <w:tcW w:type="dxa" w:w="8352"/>
            <w:tcMar>
              <w:top w:w="40" w:type="dxa"/>
              <w:bottom w:w="40" w:type="dxa"/>
              <w:left w:w="50" w:type="dxa"/>
              <w:right w:w="50" w:type="dxa"/>
            </w:tcMar>
          </w:tcPr>
          <w:p>
            <w:r>
              <w:rPr>
                <w:rFonts w:ascii="Calibri" w:hAnsi="Calibri"/>
                <w:sz w:val="20"/>
              </w:rPr>
              <w:t>Appendices</w:t>
            </w:r>
          </w:p>
        </w:tc>
        <w:tc>
          <w:tcPr>
            <w:tcW w:type="dxa" w:w="1008"/>
            <w:tcMar>
              <w:top w:w="40" w:type="dxa"/>
              <w:bottom w:w="40" w:type="dxa"/>
              <w:left w:w="50" w:type="dxa"/>
              <w:right w:w="50" w:type="dxa"/>
            </w:tcMar>
          </w:tcPr>
          <w:p>
            <w:pPr>
              <w:jc w:val="right"/>
            </w:pPr>
            <w:r>
              <w:rPr>
                <w:rFonts w:ascii="Calibri" w:hAnsi="Calibri"/>
                <w:sz w:val="20"/>
              </w:rPr>
              <w:t>40</w:t>
            </w:r>
          </w:p>
        </w:tc>
      </w:tr>
    </w:tbl>
    <w:p>
      <w:pPr>
        <w:keepNext/>
        <w:spacing w:before="240" w:after="100"/>
      </w:pPr>
      <w:r>
        <w:rPr>
          <w:rFonts w:ascii="Calibri" w:hAnsi="Calibri"/>
          <w:b/>
          <w:color w:val="2E5597"/>
          <w:sz w:val="26"/>
        </w:rPr>
        <w:t>LIST OF TABLES</w:t>
      </w:r>
    </w:p>
    <w:tbl>
      <w:tblPr>
        <w:tblW w:type="auto" w:w="0"/>
        <w:jc w:val="center"/>
        <w:tblLook w:firstColumn="1" w:firstRow="1" w:lastColumn="0" w:lastRow="0" w:noHBand="0" w:noVBand="1" w:val="04A0"/>
      </w:tblPr>
      <w:tblGrid>
        <w:gridCol w:w="4680"/>
        <w:gridCol w:w="4680"/>
      </w:tblGrid>
      <w:tr>
        <w:tc>
          <w:tcPr>
            <w:tcW w:type="dxa" w:w="8352"/>
            <w:tcMar>
              <w:top w:w="30" w:type="dxa"/>
              <w:bottom w:w="30" w:type="dxa"/>
              <w:left w:w="50" w:type="dxa"/>
              <w:right w:w="50" w:type="dxa"/>
            </w:tcMar>
          </w:tcPr>
          <w:p>
            <w:r>
              <w:rPr>
                <w:rFonts w:ascii="Calibri" w:hAnsi="Calibri"/>
                <w:sz w:val="19"/>
              </w:rPr>
              <w:t>Table 6.1: Overview of Walmart Retail Sales Datasets</w:t>
            </w:r>
          </w:p>
        </w:tc>
        <w:tc>
          <w:tcPr>
            <w:tcW w:type="dxa" w:w="1008"/>
            <w:tcMar>
              <w:top w:w="30" w:type="dxa"/>
              <w:bottom w:w="30" w:type="dxa"/>
              <w:left w:w="50" w:type="dxa"/>
              <w:right w:w="50" w:type="dxa"/>
            </w:tcMar>
          </w:tcPr>
          <w:p>
            <w:pPr>
              <w:jc w:val="right"/>
            </w:pPr>
            <w:r>
              <w:rPr>
                <w:rFonts w:ascii="Calibri" w:hAnsi="Calibri"/>
                <w:sz w:val="19"/>
              </w:rPr>
              <w:t>9</w:t>
            </w:r>
          </w:p>
        </w:tc>
      </w:tr>
      <w:tr>
        <w:tc>
          <w:tcPr>
            <w:tcW w:type="dxa" w:w="8352"/>
            <w:tcMar>
              <w:top w:w="30" w:type="dxa"/>
              <w:bottom w:w="30" w:type="dxa"/>
              <w:left w:w="50" w:type="dxa"/>
              <w:right w:w="50" w:type="dxa"/>
            </w:tcMar>
          </w:tcPr>
          <w:p>
            <w:r>
              <w:rPr>
                <w:rFonts w:ascii="Calibri" w:hAnsi="Calibri"/>
                <w:sz w:val="19"/>
              </w:rPr>
              <w:t>Table 6.2: Structural Schema of Primary Data Tables</w:t>
            </w:r>
          </w:p>
        </w:tc>
        <w:tc>
          <w:tcPr>
            <w:tcW w:type="dxa" w:w="1008"/>
            <w:tcMar>
              <w:top w:w="30" w:type="dxa"/>
              <w:bottom w:w="30" w:type="dxa"/>
              <w:left w:w="50" w:type="dxa"/>
              <w:right w:w="50" w:type="dxa"/>
            </w:tcMar>
          </w:tcPr>
          <w:p>
            <w:pPr>
              <w:jc w:val="right"/>
            </w:pPr>
            <w:r>
              <w:rPr>
                <w:rFonts w:ascii="Calibri" w:hAnsi="Calibri"/>
                <w:sz w:val="19"/>
              </w:rPr>
              <w:t>10</w:t>
            </w:r>
          </w:p>
        </w:tc>
      </w:tr>
      <w:tr>
        <w:tc>
          <w:tcPr>
            <w:tcW w:type="dxa" w:w="8352"/>
            <w:tcMar>
              <w:top w:w="30" w:type="dxa"/>
              <w:bottom w:w="30" w:type="dxa"/>
              <w:left w:w="50" w:type="dxa"/>
              <w:right w:w="50" w:type="dxa"/>
            </w:tcMar>
          </w:tcPr>
          <w:p>
            <w:r>
              <w:rPr>
                <w:rFonts w:ascii="Calibri" w:hAnsi="Calibri"/>
                <w:sz w:val="19"/>
              </w:rPr>
              <w:t>Table 9.1: Master Feature Engineering Specification (23 Predictors)</w:t>
            </w:r>
          </w:p>
        </w:tc>
        <w:tc>
          <w:tcPr>
            <w:tcW w:type="dxa" w:w="1008"/>
            <w:tcMar>
              <w:top w:w="30" w:type="dxa"/>
              <w:bottom w:w="30" w:type="dxa"/>
              <w:left w:w="50" w:type="dxa"/>
              <w:right w:w="50" w:type="dxa"/>
            </w:tcMar>
          </w:tcPr>
          <w:p>
            <w:pPr>
              <w:jc w:val="right"/>
            </w:pPr>
            <w:r>
              <w:rPr>
                <w:rFonts w:ascii="Calibri" w:hAnsi="Calibri"/>
                <w:sz w:val="19"/>
              </w:rPr>
              <w:t>20</w:t>
            </w:r>
          </w:p>
        </w:tc>
      </w:tr>
      <w:tr>
        <w:tc>
          <w:tcPr>
            <w:tcW w:type="dxa" w:w="8352"/>
            <w:tcMar>
              <w:top w:w="30" w:type="dxa"/>
              <w:bottom w:w="30" w:type="dxa"/>
              <w:left w:w="50" w:type="dxa"/>
              <w:right w:w="50" w:type="dxa"/>
            </w:tcMar>
          </w:tcPr>
          <w:p>
            <w:r>
              <w:rPr>
                <w:rFonts w:ascii="Calibri" w:hAnsi="Calibri"/>
                <w:sz w:val="19"/>
              </w:rPr>
              <w:t>Table 12.1: Comprehensive Machine Learning Validation Performance</w:t>
            </w:r>
          </w:p>
        </w:tc>
        <w:tc>
          <w:tcPr>
            <w:tcW w:type="dxa" w:w="1008"/>
            <w:tcMar>
              <w:top w:w="30" w:type="dxa"/>
              <w:bottom w:w="30" w:type="dxa"/>
              <w:left w:w="50" w:type="dxa"/>
              <w:right w:w="50" w:type="dxa"/>
            </w:tcMar>
          </w:tcPr>
          <w:p>
            <w:pPr>
              <w:jc w:val="right"/>
            </w:pPr>
            <w:r>
              <w:rPr>
                <w:rFonts w:ascii="Calibri" w:hAnsi="Calibri"/>
                <w:sz w:val="19"/>
              </w:rPr>
              <w:t>24</w:t>
            </w:r>
          </w:p>
        </w:tc>
      </w:tr>
      <w:tr>
        <w:tc>
          <w:tcPr>
            <w:tcW w:type="dxa" w:w="8352"/>
            <w:tcMar>
              <w:top w:w="30" w:type="dxa"/>
              <w:bottom w:w="30" w:type="dxa"/>
              <w:left w:w="50" w:type="dxa"/>
              <w:right w:w="50" w:type="dxa"/>
            </w:tcMar>
          </w:tcPr>
          <w:p>
            <w:r>
              <w:rPr>
                <w:rFonts w:ascii="Calibri" w:hAnsi="Calibri"/>
                <w:sz w:val="19"/>
              </w:rPr>
              <w:t>Table 16.1: Project Technology Stack and Operational Dependencies</w:t>
            </w:r>
          </w:p>
        </w:tc>
        <w:tc>
          <w:tcPr>
            <w:tcW w:type="dxa" w:w="1008"/>
            <w:tcMar>
              <w:top w:w="30" w:type="dxa"/>
              <w:bottom w:w="30" w:type="dxa"/>
              <w:left w:w="50" w:type="dxa"/>
              <w:right w:w="50" w:type="dxa"/>
            </w:tcMar>
          </w:tcPr>
          <w:p>
            <w:pPr>
              <w:jc w:val="right"/>
            </w:pPr>
            <w:r>
              <w:rPr>
                <w:rFonts w:ascii="Calibri" w:hAnsi="Calibri"/>
                <w:sz w:val="19"/>
              </w:rPr>
              <w:t>30</w:t>
            </w:r>
          </w:p>
        </w:tc>
      </w:tr>
      <w:tr>
        <w:tc>
          <w:tcPr>
            <w:tcW w:type="dxa" w:w="8352"/>
            <w:tcMar>
              <w:top w:w="30" w:type="dxa"/>
              <w:bottom w:w="30" w:type="dxa"/>
              <w:left w:w="50" w:type="dxa"/>
              <w:right w:w="50" w:type="dxa"/>
            </w:tcMar>
          </w:tcPr>
          <w:p>
            <w:r>
              <w:rPr>
                <w:rFonts w:ascii="Calibri" w:hAnsi="Calibri"/>
                <w:sz w:val="19"/>
              </w:rPr>
              <w:t>Table 17.1: Automated Pytest Test Suite Results (16 Cases)</w:t>
            </w:r>
          </w:p>
        </w:tc>
        <w:tc>
          <w:tcPr>
            <w:tcW w:type="dxa" w:w="1008"/>
            <w:tcMar>
              <w:top w:w="30" w:type="dxa"/>
              <w:bottom w:w="30" w:type="dxa"/>
              <w:left w:w="50" w:type="dxa"/>
              <w:right w:w="50" w:type="dxa"/>
            </w:tcMar>
          </w:tcPr>
          <w:p>
            <w:pPr>
              <w:jc w:val="right"/>
            </w:pPr>
            <w:r>
              <w:rPr>
                <w:rFonts w:ascii="Calibri" w:hAnsi="Calibri"/>
                <w:sz w:val="19"/>
              </w:rPr>
              <w:t>31</w:t>
            </w:r>
          </w:p>
        </w:tc>
      </w:tr>
      <w:tr>
        <w:tc>
          <w:tcPr>
            <w:tcW w:type="dxa" w:w="8352"/>
            <w:tcMar>
              <w:top w:w="30" w:type="dxa"/>
              <w:bottom w:w="30" w:type="dxa"/>
              <w:left w:w="50" w:type="dxa"/>
              <w:right w:w="50" w:type="dxa"/>
            </w:tcMar>
          </w:tcPr>
          <w:p>
            <w:r>
              <w:rPr>
                <w:rFonts w:ascii="Calibri" w:hAnsi="Calibri"/>
                <w:sz w:val="19"/>
              </w:rPr>
              <w:t>Table 18.1: Top 10 Most Influential Features by Permutation Importance</w:t>
            </w:r>
          </w:p>
        </w:tc>
        <w:tc>
          <w:tcPr>
            <w:tcW w:type="dxa" w:w="1008"/>
            <w:tcMar>
              <w:top w:w="30" w:type="dxa"/>
              <w:bottom w:w="30" w:type="dxa"/>
              <w:left w:w="50" w:type="dxa"/>
              <w:right w:w="50" w:type="dxa"/>
            </w:tcMar>
          </w:tcPr>
          <w:p>
            <w:pPr>
              <w:jc w:val="right"/>
            </w:pPr>
            <w:r>
              <w:rPr>
                <w:rFonts w:ascii="Calibri" w:hAnsi="Calibri"/>
                <w:sz w:val="19"/>
              </w:rPr>
              <w:t>34</w:t>
            </w:r>
          </w:p>
        </w:tc>
      </w:tr>
      <w:tr>
        <w:tc>
          <w:tcPr>
            <w:tcW w:type="dxa" w:w="8352"/>
            <w:tcMar>
              <w:top w:w="30" w:type="dxa"/>
              <w:bottom w:w="30" w:type="dxa"/>
              <w:left w:w="50" w:type="dxa"/>
              <w:right w:w="50" w:type="dxa"/>
            </w:tcMar>
          </w:tcPr>
          <w:p>
            <w:r>
              <w:rPr>
                <w:rFonts w:ascii="Calibri" w:hAnsi="Calibri"/>
                <w:sz w:val="19"/>
              </w:rPr>
              <w:t>Table C.1: Sample Test Forecasts Generated by Final Model</w:t>
            </w:r>
          </w:p>
        </w:tc>
        <w:tc>
          <w:tcPr>
            <w:tcW w:type="dxa" w:w="1008"/>
            <w:tcMar>
              <w:top w:w="30" w:type="dxa"/>
              <w:bottom w:w="30" w:type="dxa"/>
              <w:left w:w="50" w:type="dxa"/>
              <w:right w:w="50" w:type="dxa"/>
            </w:tcMar>
          </w:tcPr>
          <w:p>
            <w:pPr>
              <w:jc w:val="right"/>
            </w:pPr>
            <w:r>
              <w:rPr>
                <w:rFonts w:ascii="Calibri" w:hAnsi="Calibri"/>
                <w:sz w:val="19"/>
              </w:rPr>
              <w:t>41</w:t>
            </w:r>
          </w:p>
        </w:tc>
      </w:tr>
    </w:tbl>
    <w:p>
      <w:pPr>
        <w:keepNext/>
        <w:spacing w:before="240" w:after="100"/>
      </w:pPr>
      <w:r>
        <w:rPr>
          <w:rFonts w:ascii="Calibri" w:hAnsi="Calibri"/>
          <w:b/>
          <w:color w:val="2E5597"/>
          <w:sz w:val="26"/>
        </w:rPr>
        <w:t>LIST OF FIGURES</w:t>
      </w:r>
    </w:p>
    <w:tbl>
      <w:tblPr>
        <w:tblW w:type="auto" w:w="0"/>
        <w:jc w:val="center"/>
        <w:tblLook w:firstColumn="1" w:firstRow="1" w:lastColumn="0" w:lastRow="0" w:noHBand="0" w:noVBand="1" w:val="04A0"/>
      </w:tblPr>
      <w:tblGrid>
        <w:gridCol w:w="4680"/>
        <w:gridCol w:w="4680"/>
      </w:tblGrid>
      <w:tr>
        <w:tc>
          <w:tcPr>
            <w:tcW w:type="dxa" w:w="8352"/>
            <w:tcMar>
              <w:top w:w="30" w:type="dxa"/>
              <w:bottom w:w="30" w:type="dxa"/>
              <w:left w:w="50" w:type="dxa"/>
              <w:right w:w="50" w:type="dxa"/>
            </w:tcMar>
          </w:tcPr>
          <w:p>
            <w:r>
              <w:rPr>
                <w:rFonts w:ascii="Calibri" w:hAnsi="Calibri"/>
                <w:sz w:val="19"/>
              </w:rPr>
              <w:t>Figure 8.1: Weekly Sales Distribution and Skewness</w:t>
            </w:r>
          </w:p>
        </w:tc>
        <w:tc>
          <w:tcPr>
            <w:tcW w:type="dxa" w:w="1008"/>
            <w:tcMar>
              <w:top w:w="30" w:type="dxa"/>
              <w:bottom w:w="30" w:type="dxa"/>
              <w:left w:w="50" w:type="dxa"/>
              <w:right w:w="50" w:type="dxa"/>
            </w:tcMar>
          </w:tcPr>
          <w:p>
            <w:pPr>
              <w:jc w:val="right"/>
            </w:pPr>
            <w:r>
              <w:rPr>
                <w:rFonts w:ascii="Calibri" w:hAnsi="Calibri"/>
                <w:sz w:val="19"/>
              </w:rPr>
              <w:t>13</w:t>
            </w:r>
          </w:p>
        </w:tc>
      </w:tr>
      <w:tr>
        <w:tc>
          <w:tcPr>
            <w:tcW w:type="dxa" w:w="8352"/>
            <w:tcMar>
              <w:top w:w="30" w:type="dxa"/>
              <w:bottom w:w="30" w:type="dxa"/>
              <w:left w:w="50" w:type="dxa"/>
              <w:right w:w="50" w:type="dxa"/>
            </w:tcMar>
          </w:tcPr>
          <w:p>
            <w:r>
              <w:rPr>
                <w:rFonts w:ascii="Calibri" w:hAnsi="Calibri"/>
                <w:sz w:val="19"/>
              </w:rPr>
              <w:t>Figure 8.2: Longitudinal Weekly Sales Trend (2010–2012)</w:t>
            </w:r>
          </w:p>
        </w:tc>
        <w:tc>
          <w:tcPr>
            <w:tcW w:type="dxa" w:w="1008"/>
            <w:tcMar>
              <w:top w:w="30" w:type="dxa"/>
              <w:bottom w:w="30" w:type="dxa"/>
              <w:left w:w="50" w:type="dxa"/>
              <w:right w:w="50" w:type="dxa"/>
            </w:tcMar>
          </w:tcPr>
          <w:p>
            <w:pPr>
              <w:jc w:val="right"/>
            </w:pPr>
            <w:r>
              <w:rPr>
                <w:rFonts w:ascii="Calibri" w:hAnsi="Calibri"/>
                <w:sz w:val="19"/>
              </w:rPr>
              <w:t>14</w:t>
            </w:r>
          </w:p>
        </w:tc>
      </w:tr>
      <w:tr>
        <w:tc>
          <w:tcPr>
            <w:tcW w:type="dxa" w:w="8352"/>
            <w:tcMar>
              <w:top w:w="30" w:type="dxa"/>
              <w:bottom w:w="30" w:type="dxa"/>
              <w:left w:w="50" w:type="dxa"/>
              <w:right w:w="50" w:type="dxa"/>
            </w:tcMar>
          </w:tcPr>
          <w:p>
            <w:r>
              <w:rPr>
                <w:rFonts w:ascii="Calibri" w:hAnsi="Calibri"/>
                <w:sz w:val="19"/>
              </w:rPr>
              <w:t>Figure 8.3: Monthly Aggregate Sales Trend</w:t>
            </w:r>
          </w:p>
        </w:tc>
        <w:tc>
          <w:tcPr>
            <w:tcW w:type="dxa" w:w="1008"/>
            <w:tcMar>
              <w:top w:w="30" w:type="dxa"/>
              <w:bottom w:w="30" w:type="dxa"/>
              <w:left w:w="50" w:type="dxa"/>
              <w:right w:w="50" w:type="dxa"/>
            </w:tcMar>
          </w:tcPr>
          <w:p>
            <w:pPr>
              <w:jc w:val="right"/>
            </w:pPr>
            <w:r>
              <w:rPr>
                <w:rFonts w:ascii="Calibri" w:hAnsi="Calibri"/>
                <w:sz w:val="19"/>
              </w:rPr>
              <w:t>15</w:t>
            </w:r>
          </w:p>
        </w:tc>
      </w:tr>
      <w:tr>
        <w:tc>
          <w:tcPr>
            <w:tcW w:type="dxa" w:w="8352"/>
            <w:tcMar>
              <w:top w:w="30" w:type="dxa"/>
              <w:bottom w:w="30" w:type="dxa"/>
              <w:left w:w="50" w:type="dxa"/>
              <w:right w:w="50" w:type="dxa"/>
            </w:tcMar>
          </w:tcPr>
          <w:p>
            <w:r>
              <w:rPr>
                <w:rFonts w:ascii="Calibri" w:hAnsi="Calibri"/>
                <w:sz w:val="19"/>
              </w:rPr>
              <w:t>Figure 8.4: Annual Seasonal Comparison (2010 vs 2011 vs 2012)</w:t>
            </w:r>
          </w:p>
        </w:tc>
        <w:tc>
          <w:tcPr>
            <w:tcW w:type="dxa" w:w="1008"/>
            <w:tcMar>
              <w:top w:w="30" w:type="dxa"/>
              <w:bottom w:w="30" w:type="dxa"/>
              <w:left w:w="50" w:type="dxa"/>
              <w:right w:w="50" w:type="dxa"/>
            </w:tcMar>
          </w:tcPr>
          <w:p>
            <w:pPr>
              <w:jc w:val="right"/>
            </w:pPr>
            <w:r>
              <w:rPr>
                <w:rFonts w:ascii="Calibri" w:hAnsi="Calibri"/>
                <w:sz w:val="19"/>
              </w:rPr>
              <w:t>15</w:t>
            </w:r>
          </w:p>
        </w:tc>
      </w:tr>
      <w:tr>
        <w:tc>
          <w:tcPr>
            <w:tcW w:type="dxa" w:w="8352"/>
            <w:tcMar>
              <w:top w:w="30" w:type="dxa"/>
              <w:bottom w:w="30" w:type="dxa"/>
              <w:left w:w="50" w:type="dxa"/>
              <w:right w:w="50" w:type="dxa"/>
            </w:tcMar>
          </w:tcPr>
          <w:p>
            <w:r>
              <w:rPr>
                <w:rFonts w:ascii="Calibri" w:hAnsi="Calibri"/>
                <w:sz w:val="19"/>
              </w:rPr>
              <w:t>Figure 8.5: Total Historical Sales by Store (Store 1 to Store 45)</w:t>
            </w:r>
          </w:p>
        </w:tc>
        <w:tc>
          <w:tcPr>
            <w:tcW w:type="dxa" w:w="1008"/>
            <w:tcMar>
              <w:top w:w="30" w:type="dxa"/>
              <w:bottom w:w="30" w:type="dxa"/>
              <w:left w:w="50" w:type="dxa"/>
              <w:right w:w="50" w:type="dxa"/>
            </w:tcMar>
          </w:tcPr>
          <w:p>
            <w:pPr>
              <w:jc w:val="right"/>
            </w:pPr>
            <w:r>
              <w:rPr>
                <w:rFonts w:ascii="Calibri" w:hAnsi="Calibri"/>
                <w:sz w:val="19"/>
              </w:rPr>
              <w:t>16</w:t>
            </w:r>
          </w:p>
        </w:tc>
      </w:tr>
      <w:tr>
        <w:tc>
          <w:tcPr>
            <w:tcW w:type="dxa" w:w="8352"/>
            <w:tcMar>
              <w:top w:w="30" w:type="dxa"/>
              <w:bottom w:w="30" w:type="dxa"/>
              <w:left w:w="50" w:type="dxa"/>
              <w:right w:w="50" w:type="dxa"/>
            </w:tcMar>
          </w:tcPr>
          <w:p>
            <w:r>
              <w:rPr>
                <w:rFonts w:ascii="Calibri" w:hAnsi="Calibri"/>
                <w:sz w:val="19"/>
              </w:rPr>
              <w:t>Figure 8.6: Store Physical Size vs Average Weekly Sales by Store Type</w:t>
            </w:r>
          </w:p>
        </w:tc>
        <w:tc>
          <w:tcPr>
            <w:tcW w:type="dxa" w:w="1008"/>
            <w:tcMar>
              <w:top w:w="30" w:type="dxa"/>
              <w:bottom w:w="30" w:type="dxa"/>
              <w:left w:w="50" w:type="dxa"/>
              <w:right w:w="50" w:type="dxa"/>
            </w:tcMar>
          </w:tcPr>
          <w:p>
            <w:pPr>
              <w:jc w:val="right"/>
            </w:pPr>
            <w:r>
              <w:rPr>
                <w:rFonts w:ascii="Calibri" w:hAnsi="Calibri"/>
                <w:sz w:val="19"/>
              </w:rPr>
              <w:t>16</w:t>
            </w:r>
          </w:p>
        </w:tc>
      </w:tr>
      <w:tr>
        <w:tc>
          <w:tcPr>
            <w:tcW w:type="dxa" w:w="8352"/>
            <w:tcMar>
              <w:top w:w="30" w:type="dxa"/>
              <w:bottom w:w="30" w:type="dxa"/>
              <w:left w:w="50" w:type="dxa"/>
              <w:right w:w="50" w:type="dxa"/>
            </w:tcMar>
          </w:tcPr>
          <w:p>
            <w:r>
              <w:rPr>
                <w:rFonts w:ascii="Calibri" w:hAnsi="Calibri"/>
                <w:sz w:val="19"/>
              </w:rPr>
              <w:t>Figure 8.7: Top 20 Revenue-Generating Departments</w:t>
            </w:r>
          </w:p>
        </w:tc>
        <w:tc>
          <w:tcPr>
            <w:tcW w:type="dxa" w:w="1008"/>
            <w:tcMar>
              <w:top w:w="30" w:type="dxa"/>
              <w:bottom w:w="30" w:type="dxa"/>
              <w:left w:w="50" w:type="dxa"/>
              <w:right w:w="50" w:type="dxa"/>
            </w:tcMar>
          </w:tcPr>
          <w:p>
            <w:pPr>
              <w:jc w:val="right"/>
            </w:pPr>
            <w:r>
              <w:rPr>
                <w:rFonts w:ascii="Calibri" w:hAnsi="Calibri"/>
                <w:sz w:val="19"/>
              </w:rPr>
              <w:t>17</w:t>
            </w:r>
          </w:p>
        </w:tc>
      </w:tr>
      <w:tr>
        <w:tc>
          <w:tcPr>
            <w:tcW w:type="dxa" w:w="8352"/>
            <w:tcMar>
              <w:top w:w="30" w:type="dxa"/>
              <w:bottom w:w="30" w:type="dxa"/>
              <w:left w:w="50" w:type="dxa"/>
              <w:right w:w="50" w:type="dxa"/>
            </w:tcMar>
          </w:tcPr>
          <w:p>
            <w:r>
              <w:rPr>
                <w:rFonts w:ascii="Calibri" w:hAnsi="Calibri"/>
                <w:sz w:val="19"/>
              </w:rPr>
              <w:t>Figure 8.8: Holiday vs Non-Holiday Weekly Sales Distribution</w:t>
            </w:r>
          </w:p>
        </w:tc>
        <w:tc>
          <w:tcPr>
            <w:tcW w:type="dxa" w:w="1008"/>
            <w:tcMar>
              <w:top w:w="30" w:type="dxa"/>
              <w:bottom w:w="30" w:type="dxa"/>
              <w:left w:w="50" w:type="dxa"/>
              <w:right w:w="50" w:type="dxa"/>
            </w:tcMar>
          </w:tcPr>
          <w:p>
            <w:pPr>
              <w:jc w:val="right"/>
            </w:pPr>
            <w:r>
              <w:rPr>
                <w:rFonts w:ascii="Calibri" w:hAnsi="Calibri"/>
                <w:sz w:val="19"/>
              </w:rPr>
              <w:t>17</w:t>
            </w:r>
          </w:p>
        </w:tc>
      </w:tr>
      <w:tr>
        <w:tc>
          <w:tcPr>
            <w:tcW w:type="dxa" w:w="8352"/>
            <w:tcMar>
              <w:top w:w="30" w:type="dxa"/>
              <w:bottom w:w="30" w:type="dxa"/>
              <w:left w:w="50" w:type="dxa"/>
              <w:right w:w="50" w:type="dxa"/>
            </w:tcMar>
          </w:tcPr>
          <w:p>
            <w:r>
              <w:rPr>
                <w:rFonts w:ascii="Calibri" w:hAnsi="Calibri"/>
                <w:sz w:val="19"/>
              </w:rPr>
              <w:t>Figure 8.9: Relationship Between External Factors and Weekly Sales</w:t>
            </w:r>
          </w:p>
        </w:tc>
        <w:tc>
          <w:tcPr>
            <w:tcW w:type="dxa" w:w="1008"/>
            <w:tcMar>
              <w:top w:w="30" w:type="dxa"/>
              <w:bottom w:w="30" w:type="dxa"/>
              <w:left w:w="50" w:type="dxa"/>
              <w:right w:w="50" w:type="dxa"/>
            </w:tcMar>
          </w:tcPr>
          <w:p>
            <w:pPr>
              <w:jc w:val="right"/>
            </w:pPr>
            <w:r>
              <w:rPr>
                <w:rFonts w:ascii="Calibri" w:hAnsi="Calibri"/>
                <w:sz w:val="19"/>
              </w:rPr>
              <w:t>18</w:t>
            </w:r>
          </w:p>
        </w:tc>
      </w:tr>
      <w:tr>
        <w:tc>
          <w:tcPr>
            <w:tcW w:type="dxa" w:w="8352"/>
            <w:tcMar>
              <w:top w:w="30" w:type="dxa"/>
              <w:bottom w:w="30" w:type="dxa"/>
              <w:left w:w="50" w:type="dxa"/>
              <w:right w:w="50" w:type="dxa"/>
            </w:tcMar>
          </w:tcPr>
          <w:p>
            <w:r>
              <w:rPr>
                <w:rFonts w:ascii="Calibri" w:hAnsi="Calibri"/>
                <w:sz w:val="19"/>
              </w:rPr>
              <w:t>Figure 8.10: Correlation Heatmap Across Numerical Features</w:t>
            </w:r>
          </w:p>
        </w:tc>
        <w:tc>
          <w:tcPr>
            <w:tcW w:type="dxa" w:w="1008"/>
            <w:tcMar>
              <w:top w:w="30" w:type="dxa"/>
              <w:bottom w:w="30" w:type="dxa"/>
              <w:left w:w="50" w:type="dxa"/>
              <w:right w:w="50" w:type="dxa"/>
            </w:tcMar>
          </w:tcPr>
          <w:p>
            <w:pPr>
              <w:jc w:val="right"/>
            </w:pPr>
            <w:r>
              <w:rPr>
                <w:rFonts w:ascii="Calibri" w:hAnsi="Calibri"/>
                <w:sz w:val="19"/>
              </w:rPr>
              <w:t>18</w:t>
            </w:r>
          </w:p>
        </w:tc>
      </w:tr>
      <w:tr>
        <w:tc>
          <w:tcPr>
            <w:tcW w:type="dxa" w:w="8352"/>
            <w:tcMar>
              <w:top w:w="30" w:type="dxa"/>
              <w:bottom w:w="30" w:type="dxa"/>
              <w:left w:w="50" w:type="dxa"/>
              <w:right w:w="50" w:type="dxa"/>
            </w:tcMar>
          </w:tcPr>
          <w:p>
            <w:r>
              <w:rPr>
                <w:rFonts w:ascii="Calibri" w:hAnsi="Calibri"/>
                <w:sz w:val="19"/>
              </w:rPr>
              <w:t>Figure 12.1: Model Performance Comparison Across Evaluation Metrics</w:t>
            </w:r>
          </w:p>
        </w:tc>
        <w:tc>
          <w:tcPr>
            <w:tcW w:type="dxa" w:w="1008"/>
            <w:tcMar>
              <w:top w:w="30" w:type="dxa"/>
              <w:bottom w:w="30" w:type="dxa"/>
              <w:left w:w="50" w:type="dxa"/>
              <w:right w:w="50" w:type="dxa"/>
            </w:tcMar>
          </w:tcPr>
          <w:p>
            <w:pPr>
              <w:jc w:val="right"/>
            </w:pPr>
            <w:r>
              <w:rPr>
                <w:rFonts w:ascii="Calibri" w:hAnsi="Calibri"/>
                <w:sz w:val="19"/>
              </w:rPr>
              <w:t>25</w:t>
            </w:r>
          </w:p>
        </w:tc>
      </w:tr>
      <w:tr>
        <w:tc>
          <w:tcPr>
            <w:tcW w:type="dxa" w:w="8352"/>
            <w:tcMar>
              <w:top w:w="30" w:type="dxa"/>
              <w:bottom w:w="30" w:type="dxa"/>
              <w:left w:w="50" w:type="dxa"/>
              <w:right w:w="50" w:type="dxa"/>
            </w:tcMar>
          </w:tcPr>
          <w:p>
            <w:r>
              <w:rPr>
                <w:rFonts w:ascii="Calibri" w:hAnsi="Calibri"/>
                <w:sz w:val="19"/>
              </w:rPr>
              <w:t>Figure 18.1: Actual vs Predicted Weekly Sales (Validation Set)</w:t>
            </w:r>
          </w:p>
        </w:tc>
        <w:tc>
          <w:tcPr>
            <w:tcW w:type="dxa" w:w="1008"/>
            <w:tcMar>
              <w:top w:w="30" w:type="dxa"/>
              <w:bottom w:w="30" w:type="dxa"/>
              <w:left w:w="50" w:type="dxa"/>
              <w:right w:w="50" w:type="dxa"/>
            </w:tcMar>
          </w:tcPr>
          <w:p>
            <w:pPr>
              <w:jc w:val="right"/>
            </w:pPr>
            <w:r>
              <w:rPr>
                <w:rFonts w:ascii="Calibri" w:hAnsi="Calibri"/>
                <w:sz w:val="19"/>
              </w:rPr>
              <w:t>33</w:t>
            </w:r>
          </w:p>
        </w:tc>
      </w:tr>
      <w:tr>
        <w:tc>
          <w:tcPr>
            <w:tcW w:type="dxa" w:w="8352"/>
            <w:tcMar>
              <w:top w:w="30" w:type="dxa"/>
              <w:bottom w:w="30" w:type="dxa"/>
              <w:left w:w="50" w:type="dxa"/>
              <w:right w:w="50" w:type="dxa"/>
            </w:tcMar>
          </w:tcPr>
          <w:p>
            <w:r>
              <w:rPr>
                <w:rFonts w:ascii="Calibri" w:hAnsi="Calibri"/>
                <w:sz w:val="19"/>
              </w:rPr>
              <w:t>Figure 18.2: Residual Error Distribution and Residual Plot</w:t>
            </w:r>
          </w:p>
        </w:tc>
        <w:tc>
          <w:tcPr>
            <w:tcW w:type="dxa" w:w="1008"/>
            <w:tcMar>
              <w:top w:w="30" w:type="dxa"/>
              <w:bottom w:w="30" w:type="dxa"/>
              <w:left w:w="50" w:type="dxa"/>
              <w:right w:w="50" w:type="dxa"/>
            </w:tcMar>
          </w:tcPr>
          <w:p>
            <w:pPr>
              <w:jc w:val="right"/>
            </w:pPr>
            <w:r>
              <w:rPr>
                <w:rFonts w:ascii="Calibri" w:hAnsi="Calibri"/>
                <w:sz w:val="19"/>
              </w:rPr>
              <w:t>33</w:t>
            </w:r>
          </w:p>
        </w:tc>
      </w:tr>
      <w:tr>
        <w:tc>
          <w:tcPr>
            <w:tcW w:type="dxa" w:w="8352"/>
            <w:tcMar>
              <w:top w:w="30" w:type="dxa"/>
              <w:bottom w:w="30" w:type="dxa"/>
              <w:left w:w="50" w:type="dxa"/>
              <w:right w:w="50" w:type="dxa"/>
            </w:tcMar>
          </w:tcPr>
          <w:p>
            <w:r>
              <w:rPr>
                <w:rFonts w:ascii="Calibri" w:hAnsi="Calibri"/>
                <w:sz w:val="19"/>
              </w:rPr>
              <w:t>Figure 18.3: Permutation Feature Importance of Random Forest Model</w:t>
            </w:r>
          </w:p>
        </w:tc>
        <w:tc>
          <w:tcPr>
            <w:tcW w:type="dxa" w:w="1008"/>
            <w:tcMar>
              <w:top w:w="30" w:type="dxa"/>
              <w:bottom w:w="30" w:type="dxa"/>
              <w:left w:w="50" w:type="dxa"/>
              <w:right w:w="50" w:type="dxa"/>
            </w:tcMar>
          </w:tcPr>
          <w:p>
            <w:pPr>
              <w:jc w:val="right"/>
            </w:pPr>
            <w:r>
              <w:rPr>
                <w:rFonts w:ascii="Calibri" w:hAnsi="Calibri"/>
                <w:sz w:val="19"/>
              </w:rPr>
              <w:t>34</w:t>
            </w:r>
          </w:p>
        </w:tc>
      </w:tr>
    </w:tbl>
    <w:p>
      <w:r>
        <w:br w:type="page"/>
      </w:r>
    </w:p>
    <w:p>
      <w:pPr>
        <w:keepNext/>
        <w:spacing w:before="360" w:after="160"/>
      </w:pPr>
      <w:r>
        <w:rPr>
          <w:rFonts w:ascii="Calibri" w:hAnsi="Calibri"/>
          <w:b/>
          <w:color w:val="1F4E79"/>
          <w:sz w:val="32"/>
        </w:rPr>
        <w:t>1. INTRODUCTION</w:t>
      </w:r>
    </w:p>
    <w:p>
      <w:pPr>
        <w:spacing w:after="120" w:before="0" w:line="276" w:lineRule="auto"/>
        <w:jc w:val="both"/>
      </w:pPr>
      <w:r>
        <w:rPr>
          <w:rFonts w:ascii="Calibri" w:hAnsi="Calibri"/>
          <w:color w:val="282828"/>
          <w:sz w:val="22"/>
        </w:rPr>
        <w:t>Retail analytics has emerged as one of the most transformative disciplines within contemporary enterprise decision-making. Modern retail chains operate at unprecedented scales, orchestrating networks of physical stores, regional distribution centers, and thousands of merchandise categories. In this hyper-competitive environment, maintaining an optimal balance between inventory holding costs and customer satisfaction represents a formidable challenge. Inaccurate demand estimation triggers severe financial penalties: underestimating demand leads to stockouts, missed sales, and brand dilution, while overestimating demand generates excess inventory, increased holding expenses, and aggressive price depreciation through forced markdowns.</w:t>
      </w:r>
    </w:p>
    <w:p>
      <w:pPr>
        <w:spacing w:after="120" w:before="0" w:line="276" w:lineRule="auto"/>
        <w:jc w:val="both"/>
      </w:pPr>
      <w:r>
        <w:rPr>
          <w:rFonts w:ascii="Calibri" w:hAnsi="Calibri"/>
          <w:color w:val="282828"/>
          <w:sz w:val="22"/>
        </w:rPr>
        <w:t>Historically, retail forecasting relied primarily on simple heuristic rules, moving averages, and basic linear extrapolations. While these traditional techniques provided reasonable estimates during steady-state trading, they fail systematically when confronted with the intricate dynamics of modern commerce: sharp holiday demand surges (e.g., Thanksgiving, Black Friday, and Christmas), store-specific layout differences, departmental heterogeneity, promotional markdown schedules, and broader macroeconomic shifts (such as fuel price fluctuations and inflation trends). Machine learning offers an effective paradigm to model these complex, non-linear interactions by simultaneously processing historical transactional records, store characteristics, and external environmental indicators.</w:t>
      </w:r>
    </w:p>
    <w:p>
      <w:pPr>
        <w:spacing w:after="120" w:before="0" w:line="276" w:lineRule="auto"/>
        <w:jc w:val="both"/>
      </w:pPr>
      <w:r>
        <w:rPr>
          <w:rFonts w:ascii="Calibri" w:hAnsi="Calibri"/>
          <w:color w:val="282828"/>
          <w:sz w:val="22"/>
        </w:rPr>
        <w:t>This project utilizes the historical Walmart Store Sales Forecasting dataset, a benchmark retail analytics corpus spanning 45 physical retail stores across diverse geographical regions of the United States. Through an end-to-end applied data science methodology, this report details the data preprocessing pipeline, in-depth exploratory data analysis, feature engineering, multi-model comparative machine learning, rigorous time-based validation, prediction generation, and the extraction of actionable business insights.</w:t>
      </w:r>
    </w:p>
    <w:p>
      <w:pPr>
        <w:keepNext/>
        <w:spacing w:before="360" w:after="160"/>
      </w:pPr>
      <w:r>
        <w:rPr>
          <w:rFonts w:ascii="Calibri" w:hAnsi="Calibri"/>
          <w:b/>
          <w:color w:val="1F4E79"/>
          <w:sz w:val="32"/>
        </w:rPr>
        <w:t>2. BACKGROUND AND PROBLEM CONTEXT</w:t>
      </w:r>
    </w:p>
    <w:p>
      <w:pPr>
        <w:spacing w:after="120" w:before="0" w:line="276" w:lineRule="auto"/>
        <w:jc w:val="both"/>
      </w:pPr>
      <w:r>
        <w:rPr>
          <w:rFonts w:ascii="Calibri" w:hAnsi="Calibri"/>
          <w:color w:val="282828"/>
          <w:sz w:val="22"/>
        </w:rPr>
        <w:t>The Walmart operational footprint analyzed in this investigation encapsulates substantial retail heterogeneity. Retail stores are categorized into three distinct operational formats: Type A, Type B, and Type C, representing supercenters, conventional stores, and smaller neighborhood formats with store square footage ranging from 34,875 to 219,622 square feet. Within each store, sales are tracked weekly across up to 81 individual departments, ranging from high-turnover grocery lines to specialized seasonal categories.</w:t>
      </w:r>
    </w:p>
    <w:p>
      <w:pPr>
        <w:spacing w:after="120" w:before="0" w:line="276" w:lineRule="auto"/>
        <w:jc w:val="both"/>
      </w:pPr>
      <w:r>
        <w:rPr>
          <w:rFonts w:ascii="Calibri" w:hAnsi="Calibri"/>
          <w:color w:val="282828"/>
          <w:sz w:val="22"/>
        </w:rPr>
        <w:t>Several distinct contextual layers govern the variance in weekly retail sales across this network:</w:t>
      </w:r>
    </w:p>
    <w:p>
      <w:pPr>
        <w:pStyle w:val="ListBullet"/>
        <w:spacing w:after="80" w:line="276" w:lineRule="auto"/>
      </w:pPr>
      <w:r>
        <w:rPr>
          <w:rFonts w:ascii="Calibri" w:hAnsi="Calibri"/>
          <w:b/>
          <w:color w:val="282828"/>
          <w:sz w:val="21"/>
        </w:rPr>
        <w:t xml:space="preserve">Store and Department Disparity: </w:t>
      </w:r>
      <w:r>
        <w:rPr>
          <w:rFonts w:ascii="Calibri" w:hAnsi="Calibri"/>
          <w:color w:val="282828"/>
          <w:sz w:val="21"/>
        </w:rPr>
        <w:t>Weekly department revenue spans multiple orders of magnitude, with core departments generating over $100,000 weekly while smaller specialized departments yield modest revenues under $1,000.</w:t>
      </w:r>
    </w:p>
    <w:p>
      <w:pPr>
        <w:pStyle w:val="ListBullet"/>
        <w:spacing w:after="80" w:line="276" w:lineRule="auto"/>
      </w:pPr>
      <w:r>
        <w:rPr>
          <w:rFonts w:ascii="Calibri" w:hAnsi="Calibri"/>
          <w:b/>
          <w:color w:val="282828"/>
          <w:sz w:val="21"/>
        </w:rPr>
        <w:t xml:space="preserve">Seasonal and Calendar Spikes: </w:t>
      </w:r>
      <w:r>
        <w:rPr>
          <w:rFonts w:ascii="Calibri" w:hAnsi="Calibri"/>
          <w:color w:val="282828"/>
          <w:sz w:val="21"/>
        </w:rPr>
        <w:t>A substantial portion of annual retail profitability is concentrated around major American holidays, specifically the Super Bowl, Labor Day, Thanksgiving (Black Friday), and Christmas. Accurately quantifying holiday multipliers is critical for supply chain readiness.</w:t>
      </w:r>
    </w:p>
    <w:p>
      <w:pPr>
        <w:pStyle w:val="ListBullet"/>
        <w:spacing w:after="80" w:line="276" w:lineRule="auto"/>
      </w:pPr>
      <w:r>
        <w:rPr>
          <w:rFonts w:ascii="Calibri" w:hAnsi="Calibri"/>
          <w:b/>
          <w:color w:val="282828"/>
          <w:sz w:val="21"/>
        </w:rPr>
        <w:t xml:space="preserve">Promotional Markdowns: </w:t>
      </w:r>
      <w:r>
        <w:rPr>
          <w:rFonts w:ascii="Calibri" w:hAnsi="Calibri"/>
          <w:color w:val="282828"/>
          <w:sz w:val="21"/>
        </w:rPr>
        <w:t>Beginning in late 2011, Walmart recorded anonymized promotional markdowns (MarkDown1 through MarkDown5). These promotional activities directly alter demand velocity, requiring dedicated feature representations.</w:t>
      </w:r>
    </w:p>
    <w:p>
      <w:pPr>
        <w:pStyle w:val="ListBullet"/>
        <w:spacing w:after="80" w:line="276" w:lineRule="auto"/>
      </w:pPr>
      <w:r>
        <w:rPr>
          <w:rFonts w:ascii="Calibri" w:hAnsi="Calibri"/>
          <w:b/>
          <w:color w:val="282828"/>
          <w:sz w:val="21"/>
        </w:rPr>
        <w:t xml:space="preserve">Macroeconomic Climate: </w:t>
      </w:r>
      <w:r>
        <w:rPr>
          <w:rFonts w:ascii="Calibri" w:hAnsi="Calibri"/>
          <w:color w:val="282828"/>
          <w:sz w:val="21"/>
        </w:rPr>
        <w:t>The dataset spans the 2010–2012 post-recession recovery era, during which regional Consumer Price Index (CPI), regional unemployment rates, and fluctuating fuel prices exerted varying pressures on consumer purchasing power.</w:t>
      </w:r>
    </w:p>
    <w:p>
      <w:pPr>
        <w:keepNext/>
        <w:spacing w:before="360" w:after="160"/>
      </w:pPr>
      <w:r>
        <w:rPr>
          <w:rFonts w:ascii="Calibri" w:hAnsi="Calibri"/>
          <w:b/>
          <w:color w:val="1F4E79"/>
          <w:sz w:val="32"/>
        </w:rPr>
        <w:t>3. PROBLEM STATEMENT</w:t>
      </w:r>
    </w:p>
    <w:p>
      <w:pPr>
        <w:spacing w:after="120" w:before="0" w:line="276" w:lineRule="auto"/>
        <w:jc w:val="both"/>
      </w:pPr>
      <w:r>
        <w:rPr>
          <w:rFonts w:ascii="Calibri" w:hAnsi="Calibri"/>
          <w:color w:val="282828"/>
          <w:sz w:val="22"/>
        </w:rPr>
        <w:t>The core technical and business problem addressed in this investigation is formulated as follows:</w:t>
      </w:r>
    </w:p>
    <w:p>
      <w:pPr>
        <w:spacing w:after="120" w:before="0" w:line="276" w:lineRule="auto"/>
        <w:jc w:val="both"/>
      </w:pPr>
      <w:r>
        <w:rPr>
          <w:rFonts w:ascii="Calibri" w:hAnsi="Calibri"/>
          <w:color w:val="282828"/>
          <w:sz w:val="22"/>
        </w:rPr>
        <w:t>"How can historical weekly store- and department-level sales data, combined with store structural master records, promotional markdowns, and macroeconomic indicators, be rigorously preprocessed, analyzed, and modeled using supervised machine learning to generate accurate weekly sales predictions across future unseen horizons while providing interpretable, data-driven business insights to guide enterprise inventory and merchandising decisions?"</w:t>
      </w:r>
    </w:p>
    <w:p>
      <w:pPr>
        <w:spacing w:after="120" w:before="0" w:line="276" w:lineRule="auto"/>
        <w:jc w:val="both"/>
      </w:pPr>
      <w:r>
        <w:rPr>
          <w:rFonts w:ascii="Calibri" w:hAnsi="Calibri"/>
          <w:color w:val="282828"/>
          <w:sz w:val="22"/>
        </w:rPr>
        <w:t>Mathematically, the objective is to model a mapping function f: X -&gt; y, where X in R^23 represents the feature vector encompassing store attributes, departmental identifiers, temporal indicators, markdown aggregates, and macroeconomic metrics, and y in R represents the continuous Weekly_Sales target variable, minimizing validation Root Mean Squared Error (RMSE) without inducing data leakage across temporal boundaries.</w:t>
      </w:r>
    </w:p>
    <w:p>
      <w:pPr>
        <w:keepNext/>
        <w:spacing w:before="360" w:after="160"/>
      </w:pPr>
      <w:r>
        <w:rPr>
          <w:rFonts w:ascii="Calibri" w:hAnsi="Calibri"/>
          <w:b/>
          <w:color w:val="1F4E79"/>
          <w:sz w:val="32"/>
        </w:rPr>
        <w:t>4. PROJECT OBJECTIVES</w:t>
      </w:r>
    </w:p>
    <w:p>
      <w:pPr>
        <w:spacing w:after="120" w:before="0" w:line="276" w:lineRule="auto"/>
        <w:jc w:val="both"/>
      </w:pPr>
      <w:r>
        <w:rPr>
          <w:rFonts w:ascii="Calibri" w:hAnsi="Calibri"/>
          <w:color w:val="282828"/>
          <w:sz w:val="22"/>
        </w:rPr>
        <w:t>To systematically resolve the problem statement, the project defined ten concrete technical objectives:</w:t>
      </w:r>
    </w:p>
    <w:p>
      <w:pPr>
        <w:pStyle w:val="ListBullet"/>
        <w:spacing w:after="80" w:line="276" w:lineRule="auto"/>
      </w:pPr>
      <w:r>
        <w:rPr>
          <w:rFonts w:ascii="Calibri" w:hAnsi="Calibri"/>
          <w:b/>
          <w:color w:val="282828"/>
          <w:sz w:val="21"/>
        </w:rPr>
        <w:t xml:space="preserve">Objective 1 — Data Cleaning and Integration: </w:t>
      </w:r>
      <w:r>
        <w:rPr>
          <w:rFonts w:ascii="Calibri" w:hAnsi="Calibri"/>
          <w:color w:val="282828"/>
          <w:sz w:val="21"/>
        </w:rPr>
        <w:t>Ingest, clean, and merge transactional records, store characteristics, and regional features into a consolidated relational repository without record loss.</w:t>
      </w:r>
    </w:p>
    <w:p>
      <w:pPr>
        <w:pStyle w:val="ListBullet"/>
        <w:spacing w:after="80" w:line="276" w:lineRule="auto"/>
      </w:pPr>
      <w:r>
        <w:rPr>
          <w:rFonts w:ascii="Calibri" w:hAnsi="Calibri"/>
          <w:b/>
          <w:color w:val="282828"/>
          <w:sz w:val="21"/>
        </w:rPr>
        <w:t xml:space="preserve">Objective 2 — Missing-Value Remediation: </w:t>
      </w:r>
      <w:r>
        <w:rPr>
          <w:rFonts w:ascii="Calibri" w:hAnsi="Calibri"/>
          <w:color w:val="282828"/>
          <w:sz w:val="21"/>
        </w:rPr>
        <w:t>Diagnose structural missingness across markdown columns (50%–64% unrecorded prior to Nov 2011) and macroeconomic metrics, applying mathematically sound imputation protocols.</w:t>
      </w:r>
    </w:p>
    <w:p>
      <w:pPr>
        <w:pStyle w:val="ListBullet"/>
        <w:spacing w:after="80" w:line="276" w:lineRule="auto"/>
      </w:pPr>
      <w:r>
        <w:rPr>
          <w:rFonts w:ascii="Calibri" w:hAnsi="Calibri"/>
          <w:b/>
          <w:color w:val="282828"/>
          <w:sz w:val="21"/>
        </w:rPr>
        <w:t xml:space="preserve">Objective 3 — Exploratory Data Analysis: </w:t>
      </w:r>
      <w:r>
        <w:rPr>
          <w:rFonts w:ascii="Calibri" w:hAnsi="Calibri"/>
          <w:color w:val="282828"/>
          <w:sz w:val="21"/>
        </w:rPr>
        <w:t>Perform comprehensive univariate, bivariate, and multivariate analysis to characterize sales distributions, seasonal peaks, departmental rankings, and external correlations.</w:t>
      </w:r>
    </w:p>
    <w:p>
      <w:pPr>
        <w:pStyle w:val="ListBullet"/>
        <w:spacing w:after="80" w:line="276" w:lineRule="auto"/>
      </w:pPr>
      <w:r>
        <w:rPr>
          <w:rFonts w:ascii="Calibri" w:hAnsi="Calibri"/>
          <w:b/>
          <w:color w:val="282828"/>
          <w:sz w:val="21"/>
        </w:rPr>
        <w:t xml:space="preserve">Objective 4 — Feature Engineering: </w:t>
      </w:r>
      <w:r>
        <w:rPr>
          <w:rFonts w:ascii="Calibri" w:hAnsi="Calibri"/>
          <w:color w:val="282828"/>
          <w:sz w:val="21"/>
        </w:rPr>
        <w:t>Formulate 23 predictive features including temporal breakdowns, cyclical indicators, store-type encodings, and aggregate promotional markdown flags.</w:t>
      </w:r>
    </w:p>
    <w:p>
      <w:pPr>
        <w:pStyle w:val="ListBullet"/>
        <w:spacing w:after="80" w:line="276" w:lineRule="auto"/>
      </w:pPr>
      <w:r>
        <w:rPr>
          <w:rFonts w:ascii="Calibri" w:hAnsi="Calibri"/>
          <w:b/>
          <w:color w:val="282828"/>
          <w:sz w:val="21"/>
        </w:rPr>
        <w:t xml:space="preserve">Objective 5 — Data Leakage Prevention: </w:t>
      </w:r>
      <w:r>
        <w:rPr>
          <w:rFonts w:ascii="Calibri" w:hAnsi="Calibri"/>
          <w:color w:val="282828"/>
          <w:sz w:val="21"/>
        </w:rPr>
        <w:t>Implement strict time-based train/validation splitting (cut-off at 2012-07-01) mirroring production forecasting realities.</w:t>
      </w:r>
    </w:p>
    <w:p>
      <w:pPr>
        <w:pStyle w:val="ListBullet"/>
        <w:spacing w:after="80" w:line="276" w:lineRule="auto"/>
      </w:pPr>
      <w:r>
        <w:rPr>
          <w:rFonts w:ascii="Calibri" w:hAnsi="Calibri"/>
          <w:b/>
          <w:color w:val="282828"/>
          <w:sz w:val="21"/>
        </w:rPr>
        <w:t xml:space="preserve">Objective 6 — Multi-Model Development: </w:t>
      </w:r>
      <w:r>
        <w:rPr>
          <w:rFonts w:ascii="Calibri" w:hAnsi="Calibri"/>
          <w:color w:val="282828"/>
          <w:sz w:val="21"/>
        </w:rPr>
        <w:t>Train and benchmark diverse learning algorithms: Naive Mean Baseline, Linear Regression, Random Forest, HistGradientBoosting, and XGBoost.</w:t>
      </w:r>
    </w:p>
    <w:p>
      <w:pPr>
        <w:pStyle w:val="ListBullet"/>
        <w:spacing w:after="80" w:line="276" w:lineRule="auto"/>
      </w:pPr>
      <w:r>
        <w:rPr>
          <w:rFonts w:ascii="Calibri" w:hAnsi="Calibri"/>
          <w:b/>
          <w:color w:val="282828"/>
          <w:sz w:val="21"/>
        </w:rPr>
        <w:t xml:space="preserve">Objective 7 — Rigorous Model Evaluation: </w:t>
      </w:r>
      <w:r>
        <w:rPr>
          <w:rFonts w:ascii="Calibri" w:hAnsi="Calibri"/>
          <w:color w:val="282828"/>
          <w:sz w:val="21"/>
        </w:rPr>
        <w:t>Evaluate model performance using multiple complementary error metrics: MAE, RMSE, R-squared (R²), and MAPE.</w:t>
      </w:r>
    </w:p>
    <w:p>
      <w:pPr>
        <w:pStyle w:val="ListBullet"/>
        <w:spacing w:after="80" w:line="276" w:lineRule="auto"/>
      </w:pPr>
      <w:r>
        <w:rPr>
          <w:rFonts w:ascii="Calibri" w:hAnsi="Calibri"/>
          <w:b/>
          <w:color w:val="282828"/>
          <w:sz w:val="21"/>
        </w:rPr>
        <w:t xml:space="preserve">Objective 8 — Programmatic Model Selection: </w:t>
      </w:r>
      <w:r>
        <w:rPr>
          <w:rFonts w:ascii="Calibri" w:hAnsi="Calibri"/>
          <w:color w:val="282828"/>
          <w:sz w:val="21"/>
        </w:rPr>
        <w:t>Select the optimal final model based on validation RMSE and serialize the model artifacts (.pkl) for deployment.</w:t>
      </w:r>
    </w:p>
    <w:p>
      <w:pPr>
        <w:pStyle w:val="ListBullet"/>
        <w:spacing w:after="80" w:line="276" w:lineRule="auto"/>
      </w:pPr>
      <w:r>
        <w:rPr>
          <w:rFonts w:ascii="Calibri" w:hAnsi="Calibri"/>
          <w:b/>
          <w:color w:val="282828"/>
          <w:sz w:val="21"/>
        </w:rPr>
        <w:t xml:space="preserve">Objective 9 — Test Set Inference: </w:t>
      </w:r>
      <w:r>
        <w:rPr>
          <w:rFonts w:ascii="Calibri" w:hAnsi="Calibri"/>
          <w:color w:val="282828"/>
          <w:sz w:val="21"/>
        </w:rPr>
        <w:t>Generate robust forecasts for 115,064 department-store-week combinations in the unseen test dataset.</w:t>
      </w:r>
    </w:p>
    <w:p>
      <w:pPr>
        <w:pStyle w:val="ListBullet"/>
        <w:spacing w:after="80" w:line="276" w:lineRule="auto"/>
      </w:pPr>
      <w:r>
        <w:rPr>
          <w:rFonts w:ascii="Calibri" w:hAnsi="Calibri"/>
          <w:b/>
          <w:color w:val="282828"/>
          <w:sz w:val="21"/>
        </w:rPr>
        <w:t xml:space="preserve">Objective 10 — Enterprise Deployment and Testing: </w:t>
      </w:r>
      <w:r>
        <w:rPr>
          <w:rFonts w:ascii="Calibri" w:hAnsi="Calibri"/>
          <w:color w:val="282828"/>
          <w:sz w:val="21"/>
        </w:rPr>
        <w:t>Develop an interactive 8-page Streamlit decision-support application and establish an automated pytest test suite for continuous verification.</w:t>
      </w:r>
    </w:p>
    <w:p>
      <w:pPr>
        <w:keepNext/>
        <w:spacing w:before="360" w:after="160"/>
      </w:pPr>
      <w:r>
        <w:rPr>
          <w:rFonts w:ascii="Calibri" w:hAnsi="Calibri"/>
          <w:b/>
          <w:color w:val="1F4E79"/>
          <w:sz w:val="32"/>
        </w:rPr>
        <w:t>5. PROJECT SCOPE</w:t>
      </w:r>
    </w:p>
    <w:p>
      <w:pPr>
        <w:spacing w:after="120" w:before="0" w:line="276" w:lineRule="auto"/>
        <w:jc w:val="both"/>
      </w:pPr>
      <w:r>
        <w:rPr>
          <w:rFonts w:ascii="Calibri" w:hAnsi="Calibri"/>
          <w:color w:val="282828"/>
          <w:sz w:val="22"/>
        </w:rPr>
        <w:t>The boundaries of this project encompass all computational, analytical, and modeling activities necessary to deliver an academic and enterprise-grade forecasting system. The in-scope elements include:</w:t>
      </w:r>
    </w:p>
    <w:p>
      <w:pPr>
        <w:pStyle w:val="ListBullet"/>
        <w:spacing w:after="80" w:line="276" w:lineRule="auto"/>
      </w:pPr>
      <w:r>
        <w:rPr>
          <w:rFonts w:ascii="Calibri" w:hAnsi="Calibri"/>
          <w:b/>
          <w:color w:val="282828"/>
          <w:sz w:val="21"/>
        </w:rPr>
        <w:t xml:space="preserve">In-Scope: </w:t>
      </w:r>
      <w:r>
        <w:rPr>
          <w:rFonts w:ascii="Calibri" w:hAnsi="Calibri"/>
          <w:color w:val="282828"/>
          <w:sz w:val="21"/>
        </w:rPr>
        <w:t>Historical analysis across all 45 Walmart stores and 81 departments.</w:t>
      </w:r>
    </w:p>
    <w:p>
      <w:pPr>
        <w:pStyle w:val="ListBullet"/>
        <w:spacing w:after="80" w:line="276" w:lineRule="auto"/>
      </w:pPr>
      <w:r>
        <w:rPr>
          <w:rFonts w:ascii="Calibri" w:hAnsi="Calibri"/>
          <w:b/>
          <w:color w:val="282828"/>
          <w:sz w:val="21"/>
        </w:rPr>
        <w:t xml:space="preserve">In-Scope: </w:t>
      </w:r>
      <w:r>
        <w:rPr>
          <w:rFonts w:ascii="Calibri" w:hAnsi="Calibri"/>
          <w:color w:val="282828"/>
          <w:sz w:val="21"/>
        </w:rPr>
        <w:t>Preprocessing 421,570 training transactions and 115,064 test records.</w:t>
      </w:r>
    </w:p>
    <w:p>
      <w:pPr>
        <w:pStyle w:val="ListBullet"/>
        <w:spacing w:after="80" w:line="276" w:lineRule="auto"/>
      </w:pPr>
      <w:r>
        <w:rPr>
          <w:rFonts w:ascii="Calibri" w:hAnsi="Calibri"/>
          <w:b/>
          <w:color w:val="282828"/>
          <w:sz w:val="21"/>
        </w:rPr>
        <w:t xml:space="preserve">In-Scope: </w:t>
      </w:r>
      <w:r>
        <w:rPr>
          <w:rFonts w:ascii="Calibri" w:hAnsi="Calibri"/>
          <w:color w:val="282828"/>
          <w:sz w:val="21"/>
        </w:rPr>
        <w:t>Engineering calendar, structural, and promotional feature transformations.</w:t>
      </w:r>
    </w:p>
    <w:p>
      <w:pPr>
        <w:pStyle w:val="ListBullet"/>
        <w:spacing w:after="80" w:line="276" w:lineRule="auto"/>
      </w:pPr>
      <w:r>
        <w:rPr>
          <w:rFonts w:ascii="Calibri" w:hAnsi="Calibri"/>
          <w:b/>
          <w:color w:val="282828"/>
          <w:sz w:val="21"/>
        </w:rPr>
        <w:t xml:space="preserve">In-Scope: </w:t>
      </w:r>
      <w:r>
        <w:rPr>
          <w:rFonts w:ascii="Calibri" w:hAnsi="Calibri"/>
          <w:color w:val="282828"/>
          <w:sz w:val="21"/>
        </w:rPr>
        <w:t>Comparative evaluation across 5 distinct regression models.</w:t>
      </w:r>
    </w:p>
    <w:p>
      <w:pPr>
        <w:pStyle w:val="ListBullet"/>
        <w:spacing w:after="80" w:line="276" w:lineRule="auto"/>
      </w:pPr>
      <w:r>
        <w:rPr>
          <w:rFonts w:ascii="Calibri" w:hAnsi="Calibri"/>
          <w:b/>
          <w:color w:val="282828"/>
          <w:sz w:val="21"/>
        </w:rPr>
        <w:t xml:space="preserve">In-Scope: </w:t>
      </w:r>
      <w:r>
        <w:rPr>
          <w:rFonts w:ascii="Calibri" w:hAnsi="Calibri"/>
          <w:color w:val="282828"/>
          <w:sz w:val="21"/>
        </w:rPr>
        <w:t>Permutation feature importance analysis on the winning ensemble.</w:t>
      </w:r>
    </w:p>
    <w:p>
      <w:pPr>
        <w:pStyle w:val="ListBullet"/>
        <w:spacing w:after="80" w:line="276" w:lineRule="auto"/>
      </w:pPr>
      <w:r>
        <w:rPr>
          <w:rFonts w:ascii="Calibri" w:hAnsi="Calibri"/>
          <w:b/>
          <w:color w:val="282828"/>
          <w:sz w:val="21"/>
        </w:rPr>
        <w:t xml:space="preserve">In-Scope: </w:t>
      </w:r>
      <w:r>
        <w:rPr>
          <w:rFonts w:ascii="Calibri" w:hAnsi="Calibri"/>
          <w:color w:val="282828"/>
          <w:sz w:val="21"/>
        </w:rPr>
        <w:t>Delivery of interactive dashboard (app/app.py) and test suite (tests/test_pipeline.py).</w:t>
      </w:r>
    </w:p>
    <w:p>
      <w:pPr>
        <w:spacing w:after="120" w:before="0" w:line="276" w:lineRule="auto"/>
        <w:jc w:val="both"/>
      </w:pPr>
      <w:r>
        <w:rPr>
          <w:rFonts w:ascii="Calibri" w:hAnsi="Calibri"/>
          <w:color w:val="282828"/>
          <w:sz w:val="22"/>
        </w:rPr>
        <w:t>The project scope explicitly excludes real-time intra-day transactional modeling (as the original dataset is recorded at weekly granularity), competitor pricing ingestion (not captured in the original dataset), and geographical spatial optimization (store latitude and longitude coordinates were anonymized by Walmart).</w:t>
      </w:r>
    </w:p>
    <w:p>
      <w:r>
        <w:br w:type="page"/>
      </w:r>
    </w:p>
    <w:p>
      <w:pPr>
        <w:keepNext/>
        <w:spacing w:before="360" w:after="160"/>
      </w:pPr>
      <w:r>
        <w:rPr>
          <w:rFonts w:ascii="Calibri" w:hAnsi="Calibri"/>
          <w:b/>
          <w:color w:val="1F4E79"/>
          <w:sz w:val="32"/>
        </w:rPr>
        <w:t>6. DATASET DESCRIPTION AND CHARACTERISTICS</w:t>
      </w:r>
    </w:p>
    <w:p>
      <w:pPr>
        <w:spacing w:after="120" w:before="0" w:line="276" w:lineRule="auto"/>
        <w:jc w:val="both"/>
      </w:pPr>
      <w:r>
        <w:rPr>
          <w:rFonts w:ascii="Calibri" w:hAnsi="Calibri"/>
          <w:color w:val="282828"/>
          <w:sz w:val="22"/>
        </w:rPr>
        <w:t>The project utilizes the official Walmart Store Sales Forecasting dataset, originally published for competitive academic and industry benchmark evaluation. The data repository consists of five tabular CSV files: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872"/>
        <w:gridCol w:w="1872"/>
        <w:gridCol w:w="1872"/>
        <w:gridCol w:w="1872"/>
        <w:gridCol w:w="1872"/>
      </w:tblGrid>
      <w:tr>
        <w:tc>
          <w:tcPr>
            <w:tcW w:type="dxa" w:w="2160"/>
            <w:shd w:fill="1F4E79"/>
            <w:tcMar>
              <w:top w:w="120" w:type="dxa"/>
              <w:bottom w:w="120" w:type="dxa"/>
              <w:left w:w="150" w:type="dxa"/>
              <w:right w:w="150" w:type="dxa"/>
            </w:tcMar>
          </w:tcPr>
          <w:p>
            <w:pPr>
              <w:jc w:val="center"/>
            </w:pPr>
            <w:r>
              <w:rPr>
                <w:rFonts w:ascii="Calibri" w:hAnsi="Calibri"/>
                <w:b/>
                <w:color w:val="FFFFFF"/>
                <w:sz w:val="19"/>
              </w:rPr>
              <w:t>File Name</w:t>
            </w:r>
          </w:p>
        </w:tc>
        <w:tc>
          <w:tcPr>
            <w:tcW w:type="dxa" w:w="1296"/>
            <w:shd w:fill="1F4E79"/>
            <w:tcMar>
              <w:top w:w="120" w:type="dxa"/>
              <w:bottom w:w="120" w:type="dxa"/>
              <w:left w:w="150" w:type="dxa"/>
              <w:right w:w="150" w:type="dxa"/>
            </w:tcMar>
          </w:tcPr>
          <w:p>
            <w:pPr>
              <w:jc w:val="center"/>
            </w:pPr>
            <w:r>
              <w:rPr>
                <w:rFonts w:ascii="Calibri" w:hAnsi="Calibri"/>
                <w:b/>
                <w:color w:val="FFFFFF"/>
                <w:sz w:val="19"/>
              </w:rPr>
              <w:t>Record Count</w:t>
            </w:r>
          </w:p>
        </w:tc>
        <w:tc>
          <w:tcPr>
            <w:tcW w:type="dxa" w:w="1152"/>
            <w:shd w:fill="1F4E79"/>
            <w:tcMar>
              <w:top w:w="120" w:type="dxa"/>
              <w:bottom w:w="120" w:type="dxa"/>
              <w:left w:w="150" w:type="dxa"/>
              <w:right w:w="150" w:type="dxa"/>
            </w:tcMar>
          </w:tcPr>
          <w:p>
            <w:pPr>
              <w:jc w:val="center"/>
            </w:pPr>
            <w:r>
              <w:rPr>
                <w:rFonts w:ascii="Calibri" w:hAnsi="Calibri"/>
                <w:b/>
                <w:color w:val="FFFFFF"/>
                <w:sz w:val="19"/>
              </w:rPr>
              <w:t>Column Count</w:t>
            </w:r>
          </w:p>
        </w:tc>
        <w:tc>
          <w:tcPr>
            <w:tcW w:type="dxa" w:w="2592"/>
            <w:shd w:fill="1F4E79"/>
            <w:tcMar>
              <w:top w:w="120" w:type="dxa"/>
              <w:bottom w:w="120" w:type="dxa"/>
              <w:left w:w="150" w:type="dxa"/>
              <w:right w:w="150" w:type="dxa"/>
            </w:tcMar>
          </w:tcPr>
          <w:p>
            <w:pPr>
              <w:jc w:val="center"/>
            </w:pPr>
            <w:r>
              <w:rPr>
                <w:rFonts w:ascii="Calibri" w:hAnsi="Calibri"/>
                <w:b/>
                <w:color w:val="FFFFFF"/>
                <w:sz w:val="19"/>
              </w:rPr>
              <w:t>Temporal Coverage</w:t>
            </w:r>
          </w:p>
        </w:tc>
        <w:tc>
          <w:tcPr>
            <w:tcW w:type="dxa" w:w="2592"/>
            <w:shd w:fill="1F4E79"/>
            <w:tcMar>
              <w:top w:w="120" w:type="dxa"/>
              <w:bottom w:w="120" w:type="dxa"/>
              <w:left w:w="150" w:type="dxa"/>
              <w:right w:w="150" w:type="dxa"/>
            </w:tcMar>
          </w:tcPr>
          <w:p>
            <w:pPr>
              <w:jc w:val="center"/>
            </w:pPr>
            <w:r>
              <w:rPr>
                <w:rFonts w:ascii="Calibri" w:hAnsi="Calibri"/>
                <w:b/>
                <w:color w:val="FFFFFF"/>
                <w:sz w:val="19"/>
              </w:rPr>
              <w:t>Primary Functional Role</w:t>
            </w:r>
          </w:p>
        </w:tc>
      </w:tr>
      <w:tr>
        <w:tc>
          <w:tcPr>
            <w:tcW w:type="dxa" w:w="2160"/>
            <w:shd w:fill="FFFFFF"/>
            <w:tcMar>
              <w:top w:w="80" w:type="dxa"/>
              <w:bottom w:w="80" w:type="dxa"/>
              <w:left w:w="120" w:type="dxa"/>
              <w:right w:w="120" w:type="dxa"/>
            </w:tcMar>
          </w:tcPr>
          <w:p>
            <w:pPr>
              <w:jc w:val="left"/>
            </w:pPr>
            <w:r>
              <w:rPr>
                <w:rFonts w:ascii="Calibri" w:hAnsi="Calibri"/>
                <w:color w:val="282828"/>
                <w:sz w:val="18"/>
              </w:rPr>
              <w:t>train.csv</w:t>
            </w:r>
          </w:p>
        </w:tc>
        <w:tc>
          <w:tcPr>
            <w:tcW w:type="dxa" w:w="1296"/>
            <w:shd w:fill="FFFFFF"/>
            <w:tcMar>
              <w:top w:w="80" w:type="dxa"/>
              <w:bottom w:w="80" w:type="dxa"/>
              <w:left w:w="120" w:type="dxa"/>
              <w:right w:w="120" w:type="dxa"/>
            </w:tcMar>
          </w:tcPr>
          <w:p>
            <w:pPr>
              <w:jc w:val="right"/>
            </w:pPr>
            <w:r>
              <w:rPr>
                <w:rFonts w:ascii="Calibri" w:hAnsi="Calibri"/>
                <w:color w:val="282828"/>
                <w:sz w:val="18"/>
              </w:rPr>
              <w:t>421,570</w:t>
            </w:r>
          </w:p>
        </w:tc>
        <w:tc>
          <w:tcPr>
            <w:tcW w:type="dxa" w:w="1152"/>
            <w:shd w:fill="FFFFFF"/>
            <w:tcMar>
              <w:top w:w="80" w:type="dxa"/>
              <w:bottom w:w="80" w:type="dxa"/>
              <w:left w:w="120" w:type="dxa"/>
              <w:right w:w="120" w:type="dxa"/>
            </w:tcMar>
          </w:tcPr>
          <w:p>
            <w:pPr>
              <w:jc w:val="right"/>
            </w:pPr>
            <w:r>
              <w:rPr>
                <w:rFonts w:ascii="Calibri" w:hAnsi="Calibri"/>
                <w:color w:val="282828"/>
                <w:sz w:val="18"/>
              </w:rPr>
              <w:t>5</w:t>
            </w:r>
          </w:p>
        </w:tc>
        <w:tc>
          <w:tcPr>
            <w:tcW w:type="dxa" w:w="2592"/>
            <w:shd w:fill="FFFFFF"/>
            <w:tcMar>
              <w:top w:w="80" w:type="dxa"/>
              <w:bottom w:w="80" w:type="dxa"/>
              <w:left w:w="120" w:type="dxa"/>
              <w:right w:w="120" w:type="dxa"/>
            </w:tcMar>
          </w:tcPr>
          <w:p>
            <w:pPr>
              <w:jc w:val="center"/>
            </w:pPr>
            <w:r>
              <w:rPr>
                <w:rFonts w:ascii="Calibri" w:hAnsi="Calibri"/>
                <w:color w:val="282828"/>
                <w:sz w:val="18"/>
              </w:rPr>
              <w:t>2010-02-05 to 2012-10-26</w:t>
            </w:r>
          </w:p>
        </w:tc>
        <w:tc>
          <w:tcPr>
            <w:tcW w:type="dxa" w:w="2592"/>
            <w:shd w:fill="FFFFFF"/>
            <w:tcMar>
              <w:top w:w="80" w:type="dxa"/>
              <w:bottom w:w="80" w:type="dxa"/>
              <w:left w:w="120" w:type="dxa"/>
              <w:right w:w="120" w:type="dxa"/>
            </w:tcMar>
          </w:tcPr>
          <w:p>
            <w:pPr>
              <w:jc w:val="left"/>
            </w:pPr>
            <w:r>
              <w:rPr>
                <w:rFonts w:ascii="Calibri" w:hAnsi="Calibri"/>
                <w:color w:val="282828"/>
                <w:sz w:val="18"/>
              </w:rPr>
              <w:t>Historical transactions with Weekly_Sales target</w:t>
            </w:r>
          </w:p>
        </w:tc>
      </w:tr>
      <w:tr>
        <w:tc>
          <w:tcPr>
            <w:tcW w:type="dxa" w:w="2160"/>
            <w:shd w:fill="F9FAFC"/>
            <w:tcMar>
              <w:top w:w="80" w:type="dxa"/>
              <w:bottom w:w="80" w:type="dxa"/>
              <w:left w:w="120" w:type="dxa"/>
              <w:right w:w="120" w:type="dxa"/>
            </w:tcMar>
          </w:tcPr>
          <w:p>
            <w:pPr>
              <w:jc w:val="left"/>
            </w:pPr>
            <w:r>
              <w:rPr>
                <w:rFonts w:ascii="Calibri" w:hAnsi="Calibri"/>
                <w:color w:val="282828"/>
                <w:sz w:val="18"/>
              </w:rPr>
              <w:t>test.csv</w:t>
            </w:r>
          </w:p>
        </w:tc>
        <w:tc>
          <w:tcPr>
            <w:tcW w:type="dxa" w:w="1296"/>
            <w:shd w:fill="F9FAFC"/>
            <w:tcMar>
              <w:top w:w="80" w:type="dxa"/>
              <w:bottom w:w="80" w:type="dxa"/>
              <w:left w:w="120" w:type="dxa"/>
              <w:right w:w="120" w:type="dxa"/>
            </w:tcMar>
          </w:tcPr>
          <w:p>
            <w:pPr>
              <w:jc w:val="right"/>
            </w:pPr>
            <w:r>
              <w:rPr>
                <w:rFonts w:ascii="Calibri" w:hAnsi="Calibri"/>
                <w:color w:val="282828"/>
                <w:sz w:val="18"/>
              </w:rPr>
              <w:t>115,064</w:t>
            </w:r>
          </w:p>
        </w:tc>
        <w:tc>
          <w:tcPr>
            <w:tcW w:type="dxa" w:w="1152"/>
            <w:shd w:fill="F9FAFC"/>
            <w:tcMar>
              <w:top w:w="80" w:type="dxa"/>
              <w:bottom w:w="80" w:type="dxa"/>
              <w:left w:w="120" w:type="dxa"/>
              <w:right w:w="120" w:type="dxa"/>
            </w:tcMar>
          </w:tcPr>
          <w:p>
            <w:pPr>
              <w:jc w:val="right"/>
            </w:pPr>
            <w:r>
              <w:rPr>
                <w:rFonts w:ascii="Calibri" w:hAnsi="Calibri"/>
                <w:color w:val="282828"/>
                <w:sz w:val="18"/>
              </w:rPr>
              <w:t>4</w:t>
            </w:r>
          </w:p>
        </w:tc>
        <w:tc>
          <w:tcPr>
            <w:tcW w:type="dxa" w:w="2592"/>
            <w:shd w:fill="F9FAFC"/>
            <w:tcMar>
              <w:top w:w="80" w:type="dxa"/>
              <w:bottom w:w="80" w:type="dxa"/>
              <w:left w:w="120" w:type="dxa"/>
              <w:right w:w="120" w:type="dxa"/>
            </w:tcMar>
          </w:tcPr>
          <w:p>
            <w:pPr>
              <w:jc w:val="center"/>
            </w:pPr>
            <w:r>
              <w:rPr>
                <w:rFonts w:ascii="Calibri" w:hAnsi="Calibri"/>
                <w:color w:val="282828"/>
                <w:sz w:val="18"/>
              </w:rPr>
              <w:t>2012-11-02 to 2013-07-26</w:t>
            </w:r>
          </w:p>
        </w:tc>
        <w:tc>
          <w:tcPr>
            <w:tcW w:type="dxa" w:w="2592"/>
            <w:shd w:fill="F9FAFC"/>
            <w:tcMar>
              <w:top w:w="80" w:type="dxa"/>
              <w:bottom w:w="80" w:type="dxa"/>
              <w:left w:w="120" w:type="dxa"/>
              <w:right w:w="120" w:type="dxa"/>
            </w:tcMar>
          </w:tcPr>
          <w:p>
            <w:pPr>
              <w:jc w:val="left"/>
            </w:pPr>
            <w:r>
              <w:rPr>
                <w:rFonts w:ascii="Calibri" w:hAnsi="Calibri"/>
                <w:color w:val="282828"/>
                <w:sz w:val="18"/>
              </w:rPr>
              <w:t>Unseen evaluation records for blind forecasting</w:t>
            </w:r>
          </w:p>
        </w:tc>
      </w:tr>
      <w:tr>
        <w:tc>
          <w:tcPr>
            <w:tcW w:type="dxa" w:w="2160"/>
            <w:shd w:fill="FFFFFF"/>
            <w:tcMar>
              <w:top w:w="80" w:type="dxa"/>
              <w:bottom w:w="80" w:type="dxa"/>
              <w:left w:w="120" w:type="dxa"/>
              <w:right w:w="120" w:type="dxa"/>
            </w:tcMar>
          </w:tcPr>
          <w:p>
            <w:pPr>
              <w:jc w:val="left"/>
            </w:pPr>
            <w:r>
              <w:rPr>
                <w:rFonts w:ascii="Calibri" w:hAnsi="Calibri"/>
                <w:color w:val="282828"/>
                <w:sz w:val="18"/>
              </w:rPr>
              <w:t>features.csv</w:t>
            </w:r>
          </w:p>
        </w:tc>
        <w:tc>
          <w:tcPr>
            <w:tcW w:type="dxa" w:w="1296"/>
            <w:shd w:fill="FFFFFF"/>
            <w:tcMar>
              <w:top w:w="80" w:type="dxa"/>
              <w:bottom w:w="80" w:type="dxa"/>
              <w:left w:w="120" w:type="dxa"/>
              <w:right w:w="120" w:type="dxa"/>
            </w:tcMar>
          </w:tcPr>
          <w:p>
            <w:pPr>
              <w:jc w:val="right"/>
            </w:pPr>
            <w:r>
              <w:rPr>
                <w:rFonts w:ascii="Calibri" w:hAnsi="Calibri"/>
                <w:color w:val="282828"/>
                <w:sz w:val="18"/>
              </w:rPr>
              <w:t>8,190</w:t>
            </w:r>
          </w:p>
        </w:tc>
        <w:tc>
          <w:tcPr>
            <w:tcW w:type="dxa" w:w="1152"/>
            <w:shd w:fill="FFFFFF"/>
            <w:tcMar>
              <w:top w:w="80" w:type="dxa"/>
              <w:bottom w:w="80" w:type="dxa"/>
              <w:left w:w="120" w:type="dxa"/>
              <w:right w:w="120" w:type="dxa"/>
            </w:tcMar>
          </w:tcPr>
          <w:p>
            <w:pPr>
              <w:jc w:val="right"/>
            </w:pPr>
            <w:r>
              <w:rPr>
                <w:rFonts w:ascii="Calibri" w:hAnsi="Calibri"/>
                <w:color w:val="282828"/>
                <w:sz w:val="18"/>
              </w:rPr>
              <w:t>12</w:t>
            </w:r>
          </w:p>
        </w:tc>
        <w:tc>
          <w:tcPr>
            <w:tcW w:type="dxa" w:w="2592"/>
            <w:shd w:fill="FFFFFF"/>
            <w:tcMar>
              <w:top w:w="80" w:type="dxa"/>
              <w:bottom w:w="80" w:type="dxa"/>
              <w:left w:w="120" w:type="dxa"/>
              <w:right w:w="120" w:type="dxa"/>
            </w:tcMar>
          </w:tcPr>
          <w:p>
            <w:pPr>
              <w:jc w:val="center"/>
            </w:pPr>
            <w:r>
              <w:rPr>
                <w:rFonts w:ascii="Calibri" w:hAnsi="Calibri"/>
                <w:color w:val="282828"/>
                <w:sz w:val="18"/>
              </w:rPr>
              <w:t>2010-02-05 to 2013-07-26</w:t>
            </w:r>
          </w:p>
        </w:tc>
        <w:tc>
          <w:tcPr>
            <w:tcW w:type="dxa" w:w="2592"/>
            <w:shd w:fill="FFFFFF"/>
            <w:tcMar>
              <w:top w:w="80" w:type="dxa"/>
              <w:bottom w:w="80" w:type="dxa"/>
              <w:left w:w="120" w:type="dxa"/>
              <w:right w:w="120" w:type="dxa"/>
            </w:tcMar>
          </w:tcPr>
          <w:p>
            <w:pPr>
              <w:jc w:val="left"/>
            </w:pPr>
            <w:r>
              <w:rPr>
                <w:rFonts w:ascii="Calibri" w:hAnsi="Calibri"/>
                <w:color w:val="282828"/>
                <w:sz w:val="18"/>
              </w:rPr>
              <w:t>Store-week environmental and economic data</w:t>
            </w:r>
          </w:p>
        </w:tc>
      </w:tr>
      <w:tr>
        <w:tc>
          <w:tcPr>
            <w:tcW w:type="dxa" w:w="2160"/>
            <w:shd w:fill="F9FAFC"/>
            <w:tcMar>
              <w:top w:w="80" w:type="dxa"/>
              <w:bottom w:w="80" w:type="dxa"/>
              <w:left w:w="120" w:type="dxa"/>
              <w:right w:w="120" w:type="dxa"/>
            </w:tcMar>
          </w:tcPr>
          <w:p>
            <w:pPr>
              <w:jc w:val="left"/>
            </w:pPr>
            <w:r>
              <w:rPr>
                <w:rFonts w:ascii="Calibri" w:hAnsi="Calibri"/>
                <w:color w:val="282828"/>
                <w:sz w:val="18"/>
              </w:rPr>
              <w:t>stores.csv</w:t>
            </w:r>
          </w:p>
        </w:tc>
        <w:tc>
          <w:tcPr>
            <w:tcW w:type="dxa" w:w="1296"/>
            <w:shd w:fill="F9FAFC"/>
            <w:tcMar>
              <w:top w:w="80" w:type="dxa"/>
              <w:bottom w:w="80" w:type="dxa"/>
              <w:left w:w="120" w:type="dxa"/>
              <w:right w:w="120" w:type="dxa"/>
            </w:tcMar>
          </w:tcPr>
          <w:p>
            <w:pPr>
              <w:jc w:val="right"/>
            </w:pPr>
            <w:r>
              <w:rPr>
                <w:rFonts w:ascii="Calibri" w:hAnsi="Calibri"/>
                <w:color w:val="282828"/>
                <w:sz w:val="18"/>
              </w:rPr>
              <w:t>45</w:t>
            </w:r>
          </w:p>
        </w:tc>
        <w:tc>
          <w:tcPr>
            <w:tcW w:type="dxa" w:w="1152"/>
            <w:shd w:fill="F9FAFC"/>
            <w:tcMar>
              <w:top w:w="80" w:type="dxa"/>
              <w:bottom w:w="80" w:type="dxa"/>
              <w:left w:w="120" w:type="dxa"/>
              <w:right w:w="120" w:type="dxa"/>
            </w:tcMar>
          </w:tcPr>
          <w:p>
            <w:pPr>
              <w:jc w:val="right"/>
            </w:pPr>
            <w:r>
              <w:rPr>
                <w:rFonts w:ascii="Calibri" w:hAnsi="Calibri"/>
                <w:color w:val="282828"/>
                <w:sz w:val="18"/>
              </w:rPr>
              <w:t>3</w:t>
            </w:r>
          </w:p>
        </w:tc>
        <w:tc>
          <w:tcPr>
            <w:tcW w:type="dxa" w:w="2592"/>
            <w:shd w:fill="F9FAFC"/>
            <w:tcMar>
              <w:top w:w="80" w:type="dxa"/>
              <w:bottom w:w="80" w:type="dxa"/>
              <w:left w:w="120" w:type="dxa"/>
              <w:right w:w="120" w:type="dxa"/>
            </w:tcMar>
          </w:tcPr>
          <w:p>
            <w:pPr>
              <w:jc w:val="center"/>
            </w:pPr>
            <w:r>
              <w:rPr>
                <w:rFonts w:ascii="Calibri" w:hAnsi="Calibri"/>
                <w:color w:val="282828"/>
                <w:sz w:val="18"/>
              </w:rPr>
              <w:t>Static Master</w:t>
            </w:r>
          </w:p>
        </w:tc>
        <w:tc>
          <w:tcPr>
            <w:tcW w:type="dxa" w:w="2592"/>
            <w:shd w:fill="F9FAFC"/>
            <w:tcMar>
              <w:top w:w="80" w:type="dxa"/>
              <w:bottom w:w="80" w:type="dxa"/>
              <w:left w:w="120" w:type="dxa"/>
              <w:right w:w="120" w:type="dxa"/>
            </w:tcMar>
          </w:tcPr>
          <w:p>
            <w:pPr>
              <w:jc w:val="left"/>
            </w:pPr>
            <w:r>
              <w:rPr>
                <w:rFonts w:ascii="Calibri" w:hAnsi="Calibri"/>
                <w:color w:val="282828"/>
                <w:sz w:val="18"/>
              </w:rPr>
              <w:t>Physical store classification (Type) and Size (sq ft)</w:t>
            </w:r>
          </w:p>
        </w:tc>
      </w:tr>
      <w:tr>
        <w:tc>
          <w:tcPr>
            <w:tcW w:type="dxa" w:w="2160"/>
            <w:shd w:fill="FFFFFF"/>
            <w:tcMar>
              <w:top w:w="80" w:type="dxa"/>
              <w:bottom w:w="80" w:type="dxa"/>
              <w:left w:w="120" w:type="dxa"/>
              <w:right w:w="120" w:type="dxa"/>
            </w:tcMar>
          </w:tcPr>
          <w:p>
            <w:pPr>
              <w:jc w:val="left"/>
            </w:pPr>
            <w:r>
              <w:rPr>
                <w:rFonts w:ascii="Calibri" w:hAnsi="Calibri"/>
                <w:color w:val="282828"/>
                <w:sz w:val="18"/>
              </w:rPr>
              <w:t>sampleSubmission.csv</w:t>
            </w:r>
          </w:p>
        </w:tc>
        <w:tc>
          <w:tcPr>
            <w:tcW w:type="dxa" w:w="1296"/>
            <w:shd w:fill="FFFFFF"/>
            <w:tcMar>
              <w:top w:w="80" w:type="dxa"/>
              <w:bottom w:w="80" w:type="dxa"/>
              <w:left w:w="120" w:type="dxa"/>
              <w:right w:w="120" w:type="dxa"/>
            </w:tcMar>
          </w:tcPr>
          <w:p>
            <w:pPr>
              <w:jc w:val="right"/>
            </w:pPr>
            <w:r>
              <w:rPr>
                <w:rFonts w:ascii="Calibri" w:hAnsi="Calibri"/>
                <w:color w:val="282828"/>
                <w:sz w:val="18"/>
              </w:rPr>
              <w:t>115,064</w:t>
            </w:r>
          </w:p>
        </w:tc>
        <w:tc>
          <w:tcPr>
            <w:tcW w:type="dxa" w:w="1152"/>
            <w:shd w:fill="FFFFFF"/>
            <w:tcMar>
              <w:top w:w="80" w:type="dxa"/>
              <w:bottom w:w="80" w:type="dxa"/>
              <w:left w:w="120" w:type="dxa"/>
              <w:right w:w="120" w:type="dxa"/>
            </w:tcMar>
          </w:tcPr>
          <w:p>
            <w:pPr>
              <w:jc w:val="right"/>
            </w:pPr>
            <w:r>
              <w:rPr>
                <w:rFonts w:ascii="Calibri" w:hAnsi="Calibri"/>
                <w:color w:val="282828"/>
                <w:sz w:val="18"/>
              </w:rPr>
              <w:t>2</w:t>
            </w:r>
          </w:p>
        </w:tc>
        <w:tc>
          <w:tcPr>
            <w:tcW w:type="dxa" w:w="2592"/>
            <w:shd w:fill="FFFFFF"/>
            <w:tcMar>
              <w:top w:w="80" w:type="dxa"/>
              <w:bottom w:w="80" w:type="dxa"/>
              <w:left w:w="120" w:type="dxa"/>
              <w:right w:w="120" w:type="dxa"/>
            </w:tcMar>
          </w:tcPr>
          <w:p>
            <w:pPr>
              <w:jc w:val="center"/>
            </w:pPr>
            <w:r>
              <w:rPr>
                <w:rFonts w:ascii="Calibri" w:hAnsi="Calibri"/>
                <w:color w:val="282828"/>
                <w:sz w:val="18"/>
              </w:rPr>
              <w:t>2012-11-02 to 2013-07-26</w:t>
            </w:r>
          </w:p>
        </w:tc>
        <w:tc>
          <w:tcPr>
            <w:tcW w:type="dxa" w:w="2592"/>
            <w:shd w:fill="FFFFFF"/>
            <w:tcMar>
              <w:top w:w="80" w:type="dxa"/>
              <w:bottom w:w="80" w:type="dxa"/>
              <w:left w:w="120" w:type="dxa"/>
              <w:right w:w="120" w:type="dxa"/>
            </w:tcMar>
          </w:tcPr>
          <w:p>
            <w:pPr>
              <w:jc w:val="left"/>
            </w:pPr>
            <w:r>
              <w:rPr>
                <w:rFonts w:ascii="Calibri" w:hAnsi="Calibri"/>
                <w:color w:val="282828"/>
                <w:sz w:val="18"/>
              </w:rPr>
              <w:t>Benchmark submission template (Id, Weekly_Sales)</w:t>
            </w:r>
          </w:p>
        </w:tc>
      </w:tr>
    </w:tbl>
    <w:p>
      <w:pPr>
        <w:spacing w:after="240" w:before="80" w:line="276" w:lineRule="auto"/>
        <w:jc w:val="center"/>
      </w:pPr>
      <w:r>
        <w:rPr>
          <w:rFonts w:ascii="Calibri" w:hAnsi="Calibri"/>
          <w:color w:val="282828"/>
          <w:sz w:val="22"/>
        </w:rPr>
        <w:t>Table 6.1: Overview of Walmart Retail Sales Datasets</w:t>
      </w:r>
    </w:p>
    <w:p>
      <w:pPr>
        <w:keepNext/>
        <w:spacing w:before="240" w:after="100"/>
      </w:pPr>
      <w:r>
        <w:rPr>
          <w:rFonts w:ascii="Calibri" w:hAnsi="Calibri"/>
          <w:b/>
          <w:color w:val="2E5597"/>
          <w:sz w:val="26"/>
        </w:rPr>
        <w:t>Detailed Schema Analysis</w:t>
      </w:r>
    </w:p>
    <w:p>
      <w:pPr>
        <w:spacing w:after="120" w:before="0" w:line="276" w:lineRule="auto"/>
        <w:jc w:val="both"/>
      </w:pPr>
      <w:r>
        <w:rPr>
          <w:rFonts w:ascii="Calibri" w:hAnsi="Calibri"/>
          <w:color w:val="282828"/>
          <w:sz w:val="22"/>
        </w:rPr>
        <w:t>The relational schema connects individual department transactions to store-level attributes and localized environmental indicators through composite keys: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c>
          <w:tcPr>
            <w:tcW w:type="dxa" w:w="2016"/>
            <w:shd w:fill="1F4E79"/>
            <w:tcMar>
              <w:top w:w="120" w:type="dxa"/>
              <w:bottom w:w="120" w:type="dxa"/>
              <w:left w:w="150" w:type="dxa"/>
              <w:right w:w="150" w:type="dxa"/>
            </w:tcMar>
          </w:tcPr>
          <w:p>
            <w:pPr>
              <w:jc w:val="center"/>
            </w:pPr>
            <w:r>
              <w:rPr>
                <w:rFonts w:ascii="Calibri" w:hAnsi="Calibri"/>
                <w:b/>
                <w:color w:val="FFFFFF"/>
                <w:sz w:val="19"/>
              </w:rPr>
              <w:t>Attribute Name</w:t>
            </w:r>
          </w:p>
        </w:tc>
        <w:tc>
          <w:tcPr>
            <w:tcW w:type="dxa" w:w="2160"/>
            <w:shd w:fill="1F4E79"/>
            <w:tcMar>
              <w:top w:w="120" w:type="dxa"/>
              <w:bottom w:w="120" w:type="dxa"/>
              <w:left w:w="150" w:type="dxa"/>
              <w:right w:w="150" w:type="dxa"/>
            </w:tcMar>
          </w:tcPr>
          <w:p>
            <w:pPr>
              <w:jc w:val="center"/>
            </w:pPr>
            <w:r>
              <w:rPr>
                <w:rFonts w:ascii="Calibri" w:hAnsi="Calibri"/>
                <w:b/>
                <w:color w:val="FFFFFF"/>
                <w:sz w:val="19"/>
              </w:rPr>
              <w:t>Source Table</w:t>
            </w:r>
          </w:p>
        </w:tc>
        <w:tc>
          <w:tcPr>
            <w:tcW w:type="dxa" w:w="2160"/>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456"/>
            <w:shd w:fill="1F4E79"/>
            <w:tcMar>
              <w:top w:w="120" w:type="dxa"/>
              <w:bottom w:w="120" w:type="dxa"/>
              <w:left w:w="150" w:type="dxa"/>
              <w:right w:w="150" w:type="dxa"/>
            </w:tcMar>
          </w:tcPr>
          <w:p>
            <w:pPr>
              <w:jc w:val="center"/>
            </w:pPr>
            <w:r>
              <w:rPr>
                <w:rFonts w:ascii="Calibri" w:hAnsi="Calibri"/>
                <w:b/>
                <w:color w:val="FFFFFF"/>
                <w:sz w:val="19"/>
              </w:rPr>
              <w:t>Measurement / Description</w:t>
            </w:r>
          </w:p>
        </w:tc>
      </w:tr>
      <w:tr>
        <w:tc>
          <w:tcPr>
            <w:tcW w:type="dxa" w:w="2016"/>
            <w:shd w:fill="FFFFFF"/>
            <w:tcMar>
              <w:top w:w="80" w:type="dxa"/>
              <w:bottom w:w="80" w:type="dxa"/>
              <w:left w:w="120" w:type="dxa"/>
              <w:right w:w="120" w:type="dxa"/>
            </w:tcMar>
          </w:tcPr>
          <w:p>
            <w:pPr>
              <w:jc w:val="left"/>
            </w:pPr>
            <w:r>
              <w:rPr>
                <w:rFonts w:ascii="Calibri" w:hAnsi="Calibri"/>
                <w:color w:val="282828"/>
                <w:sz w:val="18"/>
              </w:rPr>
              <w:t>Store</w:t>
            </w:r>
          </w:p>
        </w:tc>
        <w:tc>
          <w:tcPr>
            <w:tcW w:type="dxa" w:w="2160"/>
            <w:shd w:fill="FFFFFF"/>
            <w:tcMar>
              <w:top w:w="80" w:type="dxa"/>
              <w:bottom w:w="80" w:type="dxa"/>
              <w:left w:w="120" w:type="dxa"/>
              <w:right w:w="120" w:type="dxa"/>
            </w:tcMar>
          </w:tcPr>
          <w:p>
            <w:pPr>
              <w:jc w:val="left"/>
            </w:pPr>
            <w:r>
              <w:rPr>
                <w:rFonts w:ascii="Calibri" w:hAnsi="Calibri"/>
                <w:color w:val="282828"/>
                <w:sz w:val="18"/>
              </w:rPr>
              <w:t>train / test / stores / feat</w:t>
            </w:r>
          </w:p>
        </w:tc>
        <w:tc>
          <w:tcPr>
            <w:tcW w:type="dxa" w:w="2160"/>
            <w:shd w:fill="FFFFFF"/>
            <w:tcMar>
              <w:top w:w="80" w:type="dxa"/>
              <w:bottom w:w="80" w:type="dxa"/>
              <w:left w:w="120" w:type="dxa"/>
              <w:right w:w="120" w:type="dxa"/>
            </w:tcMar>
          </w:tcPr>
          <w:p>
            <w:pPr>
              <w:jc w:val="left"/>
            </w:pPr>
            <w:r>
              <w:rPr>
                <w:rFonts w:ascii="Calibri" w:hAnsi="Calibri"/>
                <w:color w:val="282828"/>
                <w:sz w:val="18"/>
              </w:rPr>
              <w:t>Integer (1 to 45)</w:t>
            </w:r>
          </w:p>
        </w:tc>
        <w:tc>
          <w:tcPr>
            <w:tcW w:type="dxa" w:w="3456"/>
            <w:shd w:fill="FFFFFF"/>
            <w:tcMar>
              <w:top w:w="80" w:type="dxa"/>
              <w:bottom w:w="80" w:type="dxa"/>
              <w:left w:w="120" w:type="dxa"/>
              <w:right w:w="120" w:type="dxa"/>
            </w:tcMar>
          </w:tcPr>
          <w:p>
            <w:pPr>
              <w:jc w:val="left"/>
            </w:pPr>
            <w:r>
              <w:rPr>
                <w:rFonts w:ascii="Calibri" w:hAnsi="Calibri"/>
                <w:color w:val="282828"/>
                <w:sz w:val="18"/>
              </w:rPr>
              <w:t>Unique physical store identifier</w:t>
            </w:r>
          </w:p>
        </w:tc>
      </w:tr>
      <w:tr>
        <w:tc>
          <w:tcPr>
            <w:tcW w:type="dxa" w:w="2016"/>
            <w:shd w:fill="F9FAFC"/>
            <w:tcMar>
              <w:top w:w="80" w:type="dxa"/>
              <w:bottom w:w="80" w:type="dxa"/>
              <w:left w:w="120" w:type="dxa"/>
              <w:right w:w="120" w:type="dxa"/>
            </w:tcMar>
          </w:tcPr>
          <w:p>
            <w:pPr>
              <w:jc w:val="left"/>
            </w:pPr>
            <w:r>
              <w:rPr>
                <w:rFonts w:ascii="Calibri" w:hAnsi="Calibri"/>
                <w:color w:val="282828"/>
                <w:sz w:val="18"/>
              </w:rPr>
              <w:t>Dept</w:t>
            </w:r>
          </w:p>
        </w:tc>
        <w:tc>
          <w:tcPr>
            <w:tcW w:type="dxa" w:w="2160"/>
            <w:shd w:fill="F9FAFC"/>
            <w:tcMar>
              <w:top w:w="80" w:type="dxa"/>
              <w:bottom w:w="80" w:type="dxa"/>
              <w:left w:w="120" w:type="dxa"/>
              <w:right w:w="120" w:type="dxa"/>
            </w:tcMar>
          </w:tcPr>
          <w:p>
            <w:pPr>
              <w:jc w:val="left"/>
            </w:pPr>
            <w:r>
              <w:rPr>
                <w:rFonts w:ascii="Calibri" w:hAnsi="Calibri"/>
                <w:color w:val="282828"/>
                <w:sz w:val="18"/>
              </w:rPr>
              <w:t>train / test</w:t>
            </w:r>
          </w:p>
        </w:tc>
        <w:tc>
          <w:tcPr>
            <w:tcW w:type="dxa" w:w="2160"/>
            <w:shd w:fill="F9FAFC"/>
            <w:tcMar>
              <w:top w:w="80" w:type="dxa"/>
              <w:bottom w:w="80" w:type="dxa"/>
              <w:left w:w="120" w:type="dxa"/>
              <w:right w:w="120" w:type="dxa"/>
            </w:tcMar>
          </w:tcPr>
          <w:p>
            <w:pPr>
              <w:jc w:val="left"/>
            </w:pPr>
            <w:r>
              <w:rPr>
                <w:rFonts w:ascii="Calibri" w:hAnsi="Calibri"/>
                <w:color w:val="282828"/>
                <w:sz w:val="18"/>
              </w:rPr>
              <w:t>Integer (1 to 99)</w:t>
            </w:r>
          </w:p>
        </w:tc>
        <w:tc>
          <w:tcPr>
            <w:tcW w:type="dxa" w:w="3456"/>
            <w:shd w:fill="F9FAFC"/>
            <w:tcMar>
              <w:top w:w="80" w:type="dxa"/>
              <w:bottom w:w="80" w:type="dxa"/>
              <w:left w:w="120" w:type="dxa"/>
              <w:right w:w="120" w:type="dxa"/>
            </w:tcMar>
          </w:tcPr>
          <w:p>
            <w:pPr>
              <w:jc w:val="left"/>
            </w:pPr>
            <w:r>
              <w:rPr>
                <w:rFonts w:ascii="Calibri" w:hAnsi="Calibri"/>
                <w:color w:val="282828"/>
                <w:sz w:val="18"/>
              </w:rPr>
              <w:t>Department identifier within the store</w:t>
            </w:r>
          </w:p>
        </w:tc>
      </w:tr>
      <w:tr>
        <w:tc>
          <w:tcPr>
            <w:tcW w:type="dxa" w:w="2016"/>
            <w:shd w:fill="FFFFFF"/>
            <w:tcMar>
              <w:top w:w="80" w:type="dxa"/>
              <w:bottom w:w="80" w:type="dxa"/>
              <w:left w:w="120" w:type="dxa"/>
              <w:right w:w="120" w:type="dxa"/>
            </w:tcMar>
          </w:tcPr>
          <w:p>
            <w:pPr>
              <w:jc w:val="left"/>
            </w:pPr>
            <w:r>
              <w:rPr>
                <w:rFonts w:ascii="Calibri" w:hAnsi="Calibri"/>
                <w:color w:val="282828"/>
                <w:sz w:val="18"/>
              </w:rPr>
              <w:t>Date</w:t>
            </w:r>
          </w:p>
        </w:tc>
        <w:tc>
          <w:tcPr>
            <w:tcW w:type="dxa" w:w="2160"/>
            <w:shd w:fill="FFFFFF"/>
            <w:tcMar>
              <w:top w:w="80" w:type="dxa"/>
              <w:bottom w:w="80" w:type="dxa"/>
              <w:left w:w="120" w:type="dxa"/>
              <w:right w:w="120" w:type="dxa"/>
            </w:tcMar>
          </w:tcPr>
          <w:p>
            <w:pPr>
              <w:jc w:val="left"/>
            </w:pPr>
            <w:r>
              <w:rPr>
                <w:rFonts w:ascii="Calibri" w:hAnsi="Calibri"/>
                <w:color w:val="282828"/>
                <w:sz w:val="18"/>
              </w:rPr>
              <w:t>train / test / features</w:t>
            </w:r>
          </w:p>
        </w:tc>
        <w:tc>
          <w:tcPr>
            <w:tcW w:type="dxa" w:w="2160"/>
            <w:shd w:fill="FFFFFF"/>
            <w:tcMar>
              <w:top w:w="80" w:type="dxa"/>
              <w:bottom w:w="80" w:type="dxa"/>
              <w:left w:w="120" w:type="dxa"/>
              <w:right w:w="120" w:type="dxa"/>
            </w:tcMar>
          </w:tcPr>
          <w:p>
            <w:pPr>
              <w:jc w:val="left"/>
            </w:pPr>
            <w:r>
              <w:rPr>
                <w:rFonts w:ascii="Calibri" w:hAnsi="Calibri"/>
                <w:color w:val="282828"/>
                <w:sz w:val="18"/>
              </w:rPr>
              <w:t>Date (YYYY-MM-DD)</w:t>
            </w:r>
          </w:p>
        </w:tc>
        <w:tc>
          <w:tcPr>
            <w:tcW w:type="dxa" w:w="3456"/>
            <w:shd w:fill="FFFFFF"/>
            <w:tcMar>
              <w:top w:w="80" w:type="dxa"/>
              <w:bottom w:w="80" w:type="dxa"/>
              <w:left w:w="120" w:type="dxa"/>
              <w:right w:w="120" w:type="dxa"/>
            </w:tcMar>
          </w:tcPr>
          <w:p>
            <w:pPr>
              <w:jc w:val="left"/>
            </w:pPr>
            <w:r>
              <w:rPr>
                <w:rFonts w:ascii="Calibri" w:hAnsi="Calibri"/>
                <w:color w:val="282828"/>
                <w:sz w:val="18"/>
              </w:rPr>
              <w:t>Weekly sales reporting date (always Friday)</w:t>
            </w:r>
          </w:p>
        </w:tc>
      </w:tr>
      <w:tr>
        <w:tc>
          <w:tcPr>
            <w:tcW w:type="dxa" w:w="2016"/>
            <w:shd w:fill="F9FAFC"/>
            <w:tcMar>
              <w:top w:w="80" w:type="dxa"/>
              <w:bottom w:w="80" w:type="dxa"/>
              <w:left w:w="120" w:type="dxa"/>
              <w:right w:w="120" w:type="dxa"/>
            </w:tcMar>
          </w:tcPr>
          <w:p>
            <w:pPr>
              <w:jc w:val="left"/>
            </w:pPr>
            <w:r>
              <w:rPr>
                <w:rFonts w:ascii="Calibri" w:hAnsi="Calibri"/>
                <w:color w:val="282828"/>
                <w:sz w:val="18"/>
              </w:rPr>
              <w:t>Weekly_Sales</w:t>
            </w:r>
          </w:p>
        </w:tc>
        <w:tc>
          <w:tcPr>
            <w:tcW w:type="dxa" w:w="2160"/>
            <w:shd w:fill="F9FAFC"/>
            <w:tcMar>
              <w:top w:w="80" w:type="dxa"/>
              <w:bottom w:w="80" w:type="dxa"/>
              <w:left w:w="120" w:type="dxa"/>
              <w:right w:w="120" w:type="dxa"/>
            </w:tcMar>
          </w:tcPr>
          <w:p>
            <w:pPr>
              <w:jc w:val="left"/>
            </w:pPr>
            <w:r>
              <w:rPr>
                <w:rFonts w:ascii="Calibri" w:hAnsi="Calibri"/>
                <w:color w:val="282828"/>
                <w:sz w:val="18"/>
              </w:rPr>
              <w:t>train.csv</w:t>
            </w:r>
          </w:p>
        </w:tc>
        <w:tc>
          <w:tcPr>
            <w:tcW w:type="dxa" w:w="2160"/>
            <w:shd w:fill="F9FAFC"/>
            <w:tcMar>
              <w:top w:w="80" w:type="dxa"/>
              <w:bottom w:w="80" w:type="dxa"/>
              <w:left w:w="120" w:type="dxa"/>
              <w:right w:w="120" w:type="dxa"/>
            </w:tcMar>
          </w:tcPr>
          <w:p>
            <w:pPr>
              <w:jc w:val="left"/>
            </w:pPr>
            <w:r>
              <w:rPr>
                <w:rFonts w:ascii="Calibri" w:hAnsi="Calibri"/>
                <w:color w:val="282828"/>
                <w:sz w:val="18"/>
              </w:rPr>
              <w:t>Float (Continuous)</w:t>
            </w:r>
          </w:p>
        </w:tc>
        <w:tc>
          <w:tcPr>
            <w:tcW w:type="dxa" w:w="3456"/>
            <w:shd w:fill="F9FAFC"/>
            <w:tcMar>
              <w:top w:w="80" w:type="dxa"/>
              <w:bottom w:w="80" w:type="dxa"/>
              <w:left w:w="120" w:type="dxa"/>
              <w:right w:w="120" w:type="dxa"/>
            </w:tcMar>
          </w:tcPr>
          <w:p>
            <w:pPr>
              <w:jc w:val="left"/>
            </w:pPr>
            <w:r>
              <w:rPr>
                <w:rFonts w:ascii="Calibri" w:hAnsi="Calibri"/>
                <w:color w:val="282828"/>
                <w:sz w:val="18"/>
              </w:rPr>
              <w:t>Target Variable: Total sales for given store-dept-week ($)</w:t>
            </w:r>
          </w:p>
        </w:tc>
      </w:tr>
      <w:tr>
        <w:tc>
          <w:tcPr>
            <w:tcW w:type="dxa" w:w="2016"/>
            <w:shd w:fill="FFFFFF"/>
            <w:tcMar>
              <w:top w:w="80" w:type="dxa"/>
              <w:bottom w:w="80" w:type="dxa"/>
              <w:left w:w="120" w:type="dxa"/>
              <w:right w:w="120" w:type="dxa"/>
            </w:tcMar>
          </w:tcPr>
          <w:p>
            <w:pPr>
              <w:jc w:val="left"/>
            </w:pPr>
            <w:r>
              <w:rPr>
                <w:rFonts w:ascii="Calibri" w:hAnsi="Calibri"/>
                <w:color w:val="282828"/>
                <w:sz w:val="18"/>
              </w:rPr>
              <w:t>IsHoliday</w:t>
            </w:r>
          </w:p>
        </w:tc>
        <w:tc>
          <w:tcPr>
            <w:tcW w:type="dxa" w:w="2160"/>
            <w:shd w:fill="FFFFFF"/>
            <w:tcMar>
              <w:top w:w="80" w:type="dxa"/>
              <w:bottom w:w="80" w:type="dxa"/>
              <w:left w:w="120" w:type="dxa"/>
              <w:right w:w="120" w:type="dxa"/>
            </w:tcMar>
          </w:tcPr>
          <w:p>
            <w:pPr>
              <w:jc w:val="left"/>
            </w:pPr>
            <w:r>
              <w:rPr>
                <w:rFonts w:ascii="Calibri" w:hAnsi="Calibri"/>
                <w:color w:val="282828"/>
                <w:sz w:val="18"/>
              </w:rPr>
              <w:t>train / test / features</w:t>
            </w:r>
          </w:p>
        </w:tc>
        <w:tc>
          <w:tcPr>
            <w:tcW w:type="dxa" w:w="2160"/>
            <w:shd w:fill="FFFFFF"/>
            <w:tcMar>
              <w:top w:w="80" w:type="dxa"/>
              <w:bottom w:w="80" w:type="dxa"/>
              <w:left w:w="120" w:type="dxa"/>
              <w:right w:w="120" w:type="dxa"/>
            </w:tcMar>
          </w:tcPr>
          <w:p>
            <w:pPr>
              <w:jc w:val="left"/>
            </w:pPr>
            <w:r>
              <w:rPr>
                <w:rFonts w:ascii="Calibri" w:hAnsi="Calibri"/>
                <w:color w:val="282828"/>
                <w:sz w:val="18"/>
              </w:rPr>
              <w:t>Boolean (True/False)</w:t>
            </w:r>
          </w:p>
        </w:tc>
        <w:tc>
          <w:tcPr>
            <w:tcW w:type="dxa" w:w="3456"/>
            <w:shd w:fill="FFFFFF"/>
            <w:tcMar>
              <w:top w:w="80" w:type="dxa"/>
              <w:bottom w:w="80" w:type="dxa"/>
              <w:left w:w="120" w:type="dxa"/>
              <w:right w:w="120" w:type="dxa"/>
            </w:tcMar>
          </w:tcPr>
          <w:p>
            <w:pPr>
              <w:jc w:val="left"/>
            </w:pPr>
            <w:r>
              <w:rPr>
                <w:rFonts w:ascii="Calibri" w:hAnsi="Calibri"/>
                <w:color w:val="282828"/>
                <w:sz w:val="18"/>
              </w:rPr>
              <w:t>Indicator of whether reporting week contains a major holiday</w:t>
            </w:r>
          </w:p>
        </w:tc>
      </w:tr>
      <w:tr>
        <w:tc>
          <w:tcPr>
            <w:tcW w:type="dxa" w:w="2016"/>
            <w:shd w:fill="F9FAFC"/>
            <w:tcMar>
              <w:top w:w="80" w:type="dxa"/>
              <w:bottom w:w="80" w:type="dxa"/>
              <w:left w:w="120" w:type="dxa"/>
              <w:right w:w="120" w:type="dxa"/>
            </w:tcMar>
          </w:tcPr>
          <w:p>
            <w:pPr>
              <w:jc w:val="left"/>
            </w:pPr>
            <w:r>
              <w:rPr>
                <w:rFonts w:ascii="Calibri" w:hAnsi="Calibri"/>
                <w:color w:val="282828"/>
                <w:sz w:val="18"/>
              </w:rPr>
              <w:t>Type</w:t>
            </w:r>
          </w:p>
        </w:tc>
        <w:tc>
          <w:tcPr>
            <w:tcW w:type="dxa" w:w="2160"/>
            <w:shd w:fill="F9FAFC"/>
            <w:tcMar>
              <w:top w:w="80" w:type="dxa"/>
              <w:bottom w:w="80" w:type="dxa"/>
              <w:left w:w="120" w:type="dxa"/>
              <w:right w:w="120" w:type="dxa"/>
            </w:tcMar>
          </w:tcPr>
          <w:p>
            <w:pPr>
              <w:jc w:val="left"/>
            </w:pPr>
            <w:r>
              <w:rPr>
                <w:rFonts w:ascii="Calibri" w:hAnsi="Calibri"/>
                <w:color w:val="282828"/>
                <w:sz w:val="18"/>
              </w:rPr>
              <w:t>stores.csv</w:t>
            </w:r>
          </w:p>
        </w:tc>
        <w:tc>
          <w:tcPr>
            <w:tcW w:type="dxa" w:w="2160"/>
            <w:shd w:fill="F9FAFC"/>
            <w:tcMar>
              <w:top w:w="80" w:type="dxa"/>
              <w:bottom w:w="80" w:type="dxa"/>
              <w:left w:w="120" w:type="dxa"/>
              <w:right w:w="120" w:type="dxa"/>
            </w:tcMar>
          </w:tcPr>
          <w:p>
            <w:pPr>
              <w:jc w:val="left"/>
            </w:pPr>
            <w:r>
              <w:rPr>
                <w:rFonts w:ascii="Calibri" w:hAnsi="Calibri"/>
                <w:color w:val="282828"/>
                <w:sz w:val="18"/>
              </w:rPr>
              <w:t>Categorical (A, B, C)</w:t>
            </w:r>
          </w:p>
        </w:tc>
        <w:tc>
          <w:tcPr>
            <w:tcW w:type="dxa" w:w="3456"/>
            <w:shd w:fill="F9FAFC"/>
            <w:tcMar>
              <w:top w:w="80" w:type="dxa"/>
              <w:bottom w:w="80" w:type="dxa"/>
              <w:left w:w="120" w:type="dxa"/>
              <w:right w:w="120" w:type="dxa"/>
            </w:tcMar>
          </w:tcPr>
          <w:p>
            <w:pPr>
              <w:jc w:val="left"/>
            </w:pPr>
            <w:r>
              <w:rPr>
                <w:rFonts w:ascii="Calibri" w:hAnsi="Calibri"/>
                <w:color w:val="282828"/>
                <w:sz w:val="18"/>
              </w:rPr>
              <w:t>Store format category (A: Supercenter, B: Mid-size, C: Small)</w:t>
            </w:r>
          </w:p>
        </w:tc>
      </w:tr>
      <w:tr>
        <w:tc>
          <w:tcPr>
            <w:tcW w:type="dxa" w:w="2016"/>
            <w:shd w:fill="FFFFFF"/>
            <w:tcMar>
              <w:top w:w="80" w:type="dxa"/>
              <w:bottom w:w="80" w:type="dxa"/>
              <w:left w:w="120" w:type="dxa"/>
              <w:right w:w="120" w:type="dxa"/>
            </w:tcMar>
          </w:tcPr>
          <w:p>
            <w:pPr>
              <w:jc w:val="left"/>
            </w:pPr>
            <w:r>
              <w:rPr>
                <w:rFonts w:ascii="Calibri" w:hAnsi="Calibri"/>
                <w:color w:val="282828"/>
                <w:sz w:val="18"/>
              </w:rPr>
              <w:t>Size</w:t>
            </w:r>
          </w:p>
        </w:tc>
        <w:tc>
          <w:tcPr>
            <w:tcW w:type="dxa" w:w="2160"/>
            <w:shd w:fill="FFFFFF"/>
            <w:tcMar>
              <w:top w:w="80" w:type="dxa"/>
              <w:bottom w:w="80" w:type="dxa"/>
              <w:left w:w="120" w:type="dxa"/>
              <w:right w:w="120" w:type="dxa"/>
            </w:tcMar>
          </w:tcPr>
          <w:p>
            <w:pPr>
              <w:jc w:val="left"/>
            </w:pPr>
            <w:r>
              <w:rPr>
                <w:rFonts w:ascii="Calibri" w:hAnsi="Calibri"/>
                <w:color w:val="282828"/>
                <w:sz w:val="18"/>
              </w:rPr>
              <w:t>stores.csv</w:t>
            </w:r>
          </w:p>
        </w:tc>
        <w:tc>
          <w:tcPr>
            <w:tcW w:type="dxa" w:w="2160"/>
            <w:shd w:fill="FFFFFF"/>
            <w:tcMar>
              <w:top w:w="80" w:type="dxa"/>
              <w:bottom w:w="80" w:type="dxa"/>
              <w:left w:w="120" w:type="dxa"/>
              <w:right w:w="120" w:type="dxa"/>
            </w:tcMar>
          </w:tcPr>
          <w:p>
            <w:pPr>
              <w:jc w:val="left"/>
            </w:pPr>
            <w:r>
              <w:rPr>
                <w:rFonts w:ascii="Calibri" w:hAnsi="Calibri"/>
                <w:color w:val="282828"/>
                <w:sz w:val="18"/>
              </w:rPr>
              <w:t>Integer (34,875 - 219,622)</w:t>
            </w:r>
          </w:p>
        </w:tc>
        <w:tc>
          <w:tcPr>
            <w:tcW w:type="dxa" w:w="3456"/>
            <w:shd w:fill="FFFFFF"/>
            <w:tcMar>
              <w:top w:w="80" w:type="dxa"/>
              <w:bottom w:w="80" w:type="dxa"/>
              <w:left w:w="120" w:type="dxa"/>
              <w:right w:w="120" w:type="dxa"/>
            </w:tcMar>
          </w:tcPr>
          <w:p>
            <w:pPr>
              <w:jc w:val="left"/>
            </w:pPr>
            <w:r>
              <w:rPr>
                <w:rFonts w:ascii="Calibri" w:hAnsi="Calibri"/>
                <w:color w:val="282828"/>
                <w:sz w:val="18"/>
              </w:rPr>
              <w:t>Total physical store area in square feet</w:t>
            </w:r>
          </w:p>
        </w:tc>
      </w:tr>
      <w:tr>
        <w:tc>
          <w:tcPr>
            <w:tcW w:type="dxa" w:w="2016"/>
            <w:shd w:fill="F9FAFC"/>
            <w:tcMar>
              <w:top w:w="80" w:type="dxa"/>
              <w:bottom w:w="80" w:type="dxa"/>
              <w:left w:w="120" w:type="dxa"/>
              <w:right w:w="120" w:type="dxa"/>
            </w:tcMar>
          </w:tcPr>
          <w:p>
            <w:pPr>
              <w:jc w:val="left"/>
            </w:pPr>
            <w:r>
              <w:rPr>
                <w:rFonts w:ascii="Calibri" w:hAnsi="Calibri"/>
                <w:color w:val="282828"/>
                <w:sz w:val="18"/>
              </w:rPr>
              <w:t>Temperature</w:t>
            </w:r>
          </w:p>
        </w:tc>
        <w:tc>
          <w:tcPr>
            <w:tcW w:type="dxa" w:w="2160"/>
            <w:shd w:fill="F9FAFC"/>
            <w:tcMar>
              <w:top w:w="80" w:type="dxa"/>
              <w:bottom w:w="80" w:type="dxa"/>
              <w:left w:w="120" w:type="dxa"/>
              <w:right w:w="120" w:type="dxa"/>
            </w:tcMar>
          </w:tcPr>
          <w:p>
            <w:pPr>
              <w:jc w:val="left"/>
            </w:pPr>
            <w:r>
              <w:rPr>
                <w:rFonts w:ascii="Calibri" w:hAnsi="Calibri"/>
                <w:color w:val="282828"/>
                <w:sz w:val="18"/>
              </w:rPr>
              <w:t>features.csv</w:t>
            </w:r>
          </w:p>
        </w:tc>
        <w:tc>
          <w:tcPr>
            <w:tcW w:type="dxa" w:w="2160"/>
            <w:shd w:fill="F9FAFC"/>
            <w:tcMar>
              <w:top w:w="80" w:type="dxa"/>
              <w:bottom w:w="80" w:type="dxa"/>
              <w:left w:w="120" w:type="dxa"/>
              <w:right w:w="120" w:type="dxa"/>
            </w:tcMar>
          </w:tcPr>
          <w:p>
            <w:pPr>
              <w:jc w:val="left"/>
            </w:pPr>
            <w:r>
              <w:rPr>
                <w:rFonts w:ascii="Calibri" w:hAnsi="Calibri"/>
                <w:color w:val="282828"/>
                <w:sz w:val="18"/>
              </w:rPr>
              <w:t>Float (-2.06°F to 101.95°F)</w:t>
            </w:r>
          </w:p>
        </w:tc>
        <w:tc>
          <w:tcPr>
            <w:tcW w:type="dxa" w:w="3456"/>
            <w:shd w:fill="F9FAFC"/>
            <w:tcMar>
              <w:top w:w="80" w:type="dxa"/>
              <w:bottom w:w="80" w:type="dxa"/>
              <w:left w:w="120" w:type="dxa"/>
              <w:right w:w="120" w:type="dxa"/>
            </w:tcMar>
          </w:tcPr>
          <w:p>
            <w:pPr>
              <w:jc w:val="left"/>
            </w:pPr>
            <w:r>
              <w:rPr>
                <w:rFonts w:ascii="Calibri" w:hAnsi="Calibri"/>
                <w:color w:val="282828"/>
                <w:sz w:val="18"/>
              </w:rPr>
              <w:t>Average weekly temperature in region of store</w:t>
            </w:r>
          </w:p>
        </w:tc>
      </w:tr>
      <w:tr>
        <w:tc>
          <w:tcPr>
            <w:tcW w:type="dxa" w:w="2016"/>
            <w:shd w:fill="FFFFFF"/>
            <w:tcMar>
              <w:top w:w="80" w:type="dxa"/>
              <w:bottom w:w="80" w:type="dxa"/>
              <w:left w:w="120" w:type="dxa"/>
              <w:right w:w="120" w:type="dxa"/>
            </w:tcMar>
          </w:tcPr>
          <w:p>
            <w:pPr>
              <w:jc w:val="left"/>
            </w:pPr>
            <w:r>
              <w:rPr>
                <w:rFonts w:ascii="Calibri" w:hAnsi="Calibri"/>
                <w:color w:val="282828"/>
                <w:sz w:val="18"/>
              </w:rPr>
              <w:t>Fuel_Price</w:t>
            </w:r>
          </w:p>
        </w:tc>
        <w:tc>
          <w:tcPr>
            <w:tcW w:type="dxa" w:w="2160"/>
            <w:shd w:fill="FFFFFF"/>
            <w:tcMar>
              <w:top w:w="80" w:type="dxa"/>
              <w:bottom w:w="80" w:type="dxa"/>
              <w:left w:w="120" w:type="dxa"/>
              <w:right w:w="120" w:type="dxa"/>
            </w:tcMar>
          </w:tcPr>
          <w:p>
            <w:pPr>
              <w:jc w:val="left"/>
            </w:pPr>
            <w:r>
              <w:rPr>
                <w:rFonts w:ascii="Calibri" w:hAnsi="Calibri"/>
                <w:color w:val="282828"/>
                <w:sz w:val="18"/>
              </w:rPr>
              <w:t>features.csv</w:t>
            </w:r>
          </w:p>
        </w:tc>
        <w:tc>
          <w:tcPr>
            <w:tcW w:type="dxa" w:w="2160"/>
            <w:shd w:fill="FFFFFF"/>
            <w:tcMar>
              <w:top w:w="80" w:type="dxa"/>
              <w:bottom w:w="80" w:type="dxa"/>
              <w:left w:w="120" w:type="dxa"/>
              <w:right w:w="120" w:type="dxa"/>
            </w:tcMar>
          </w:tcPr>
          <w:p>
            <w:pPr>
              <w:jc w:val="left"/>
            </w:pPr>
            <w:r>
              <w:rPr>
                <w:rFonts w:ascii="Calibri" w:hAnsi="Calibri"/>
                <w:color w:val="282828"/>
                <w:sz w:val="18"/>
              </w:rPr>
              <w:t>Float ($2.47 to $4.47)</w:t>
            </w:r>
          </w:p>
        </w:tc>
        <w:tc>
          <w:tcPr>
            <w:tcW w:type="dxa" w:w="3456"/>
            <w:shd w:fill="FFFFFF"/>
            <w:tcMar>
              <w:top w:w="80" w:type="dxa"/>
              <w:bottom w:w="80" w:type="dxa"/>
              <w:left w:w="120" w:type="dxa"/>
              <w:right w:w="120" w:type="dxa"/>
            </w:tcMar>
          </w:tcPr>
          <w:p>
            <w:pPr>
              <w:jc w:val="left"/>
            </w:pPr>
            <w:r>
              <w:rPr>
                <w:rFonts w:ascii="Calibri" w:hAnsi="Calibri"/>
                <w:color w:val="282828"/>
                <w:sz w:val="18"/>
              </w:rPr>
              <w:t>Regional average cost of fuel per gallon</w:t>
            </w:r>
          </w:p>
        </w:tc>
      </w:tr>
      <w:tr>
        <w:tc>
          <w:tcPr>
            <w:tcW w:type="dxa" w:w="2016"/>
            <w:shd w:fill="F9FAFC"/>
            <w:tcMar>
              <w:top w:w="80" w:type="dxa"/>
              <w:bottom w:w="80" w:type="dxa"/>
              <w:left w:w="120" w:type="dxa"/>
              <w:right w:w="120" w:type="dxa"/>
            </w:tcMar>
          </w:tcPr>
          <w:p>
            <w:pPr>
              <w:jc w:val="left"/>
            </w:pPr>
            <w:r>
              <w:rPr>
                <w:rFonts w:ascii="Calibri" w:hAnsi="Calibri"/>
                <w:color w:val="282828"/>
                <w:sz w:val="18"/>
              </w:rPr>
              <w:t>MarkDown1 - 5</w:t>
            </w:r>
          </w:p>
        </w:tc>
        <w:tc>
          <w:tcPr>
            <w:tcW w:type="dxa" w:w="2160"/>
            <w:shd w:fill="F9FAFC"/>
            <w:tcMar>
              <w:top w:w="80" w:type="dxa"/>
              <w:bottom w:w="80" w:type="dxa"/>
              <w:left w:w="120" w:type="dxa"/>
              <w:right w:w="120" w:type="dxa"/>
            </w:tcMar>
          </w:tcPr>
          <w:p>
            <w:pPr>
              <w:jc w:val="left"/>
            </w:pPr>
            <w:r>
              <w:rPr>
                <w:rFonts w:ascii="Calibri" w:hAnsi="Calibri"/>
                <w:color w:val="282828"/>
                <w:sz w:val="18"/>
              </w:rPr>
              <w:t>features.csv</w:t>
            </w:r>
          </w:p>
        </w:tc>
        <w:tc>
          <w:tcPr>
            <w:tcW w:type="dxa" w:w="2160"/>
            <w:shd w:fill="F9FAFC"/>
            <w:tcMar>
              <w:top w:w="80" w:type="dxa"/>
              <w:bottom w:w="80" w:type="dxa"/>
              <w:left w:w="120" w:type="dxa"/>
              <w:right w:w="120" w:type="dxa"/>
            </w:tcMar>
          </w:tcPr>
          <w:p>
            <w:pPr>
              <w:jc w:val="left"/>
            </w:pPr>
            <w:r>
              <w:rPr>
                <w:rFonts w:ascii="Calibri" w:hAnsi="Calibri"/>
                <w:color w:val="282828"/>
                <w:sz w:val="18"/>
              </w:rPr>
              <w:t>Float (Continuous)</w:t>
            </w:r>
          </w:p>
        </w:tc>
        <w:tc>
          <w:tcPr>
            <w:tcW w:type="dxa" w:w="3456"/>
            <w:shd w:fill="F9FAFC"/>
            <w:tcMar>
              <w:top w:w="80" w:type="dxa"/>
              <w:bottom w:w="80" w:type="dxa"/>
              <w:left w:w="120" w:type="dxa"/>
              <w:right w:w="120" w:type="dxa"/>
            </w:tcMar>
          </w:tcPr>
          <w:p>
            <w:pPr>
              <w:jc w:val="left"/>
            </w:pPr>
            <w:r>
              <w:rPr>
                <w:rFonts w:ascii="Calibri" w:hAnsi="Calibri"/>
                <w:color w:val="282828"/>
                <w:sz w:val="18"/>
              </w:rPr>
              <w:t>Anonymized promotional discounts; missing prior to late 2011</w:t>
            </w:r>
          </w:p>
        </w:tc>
      </w:tr>
      <w:tr>
        <w:tc>
          <w:tcPr>
            <w:tcW w:type="dxa" w:w="2016"/>
            <w:shd w:fill="FFFFFF"/>
            <w:tcMar>
              <w:top w:w="80" w:type="dxa"/>
              <w:bottom w:w="80" w:type="dxa"/>
              <w:left w:w="120" w:type="dxa"/>
              <w:right w:w="120" w:type="dxa"/>
            </w:tcMar>
          </w:tcPr>
          <w:p>
            <w:pPr>
              <w:jc w:val="left"/>
            </w:pPr>
            <w:r>
              <w:rPr>
                <w:rFonts w:ascii="Calibri" w:hAnsi="Calibri"/>
                <w:color w:val="282828"/>
                <w:sz w:val="18"/>
              </w:rPr>
              <w:t>CPI</w:t>
            </w:r>
          </w:p>
        </w:tc>
        <w:tc>
          <w:tcPr>
            <w:tcW w:type="dxa" w:w="2160"/>
            <w:shd w:fill="FFFFFF"/>
            <w:tcMar>
              <w:top w:w="80" w:type="dxa"/>
              <w:bottom w:w="80" w:type="dxa"/>
              <w:left w:w="120" w:type="dxa"/>
              <w:right w:w="120" w:type="dxa"/>
            </w:tcMar>
          </w:tcPr>
          <w:p>
            <w:pPr>
              <w:jc w:val="left"/>
            </w:pPr>
            <w:r>
              <w:rPr>
                <w:rFonts w:ascii="Calibri" w:hAnsi="Calibri"/>
                <w:color w:val="282828"/>
                <w:sz w:val="18"/>
              </w:rPr>
              <w:t>features.csv</w:t>
            </w:r>
          </w:p>
        </w:tc>
        <w:tc>
          <w:tcPr>
            <w:tcW w:type="dxa" w:w="2160"/>
            <w:shd w:fill="FFFFFF"/>
            <w:tcMar>
              <w:top w:w="80" w:type="dxa"/>
              <w:bottom w:w="80" w:type="dxa"/>
              <w:left w:w="120" w:type="dxa"/>
              <w:right w:w="120" w:type="dxa"/>
            </w:tcMar>
          </w:tcPr>
          <w:p>
            <w:pPr>
              <w:jc w:val="left"/>
            </w:pPr>
            <w:r>
              <w:rPr>
                <w:rFonts w:ascii="Calibri" w:hAnsi="Calibri"/>
                <w:color w:val="282828"/>
                <w:sz w:val="18"/>
              </w:rPr>
              <w:t>Float (126.06 to 228.98)</w:t>
            </w:r>
          </w:p>
        </w:tc>
        <w:tc>
          <w:tcPr>
            <w:tcW w:type="dxa" w:w="3456"/>
            <w:shd w:fill="FFFFFF"/>
            <w:tcMar>
              <w:top w:w="80" w:type="dxa"/>
              <w:bottom w:w="80" w:type="dxa"/>
              <w:left w:w="120" w:type="dxa"/>
              <w:right w:w="120" w:type="dxa"/>
            </w:tcMar>
          </w:tcPr>
          <w:p>
            <w:pPr>
              <w:jc w:val="left"/>
            </w:pPr>
            <w:r>
              <w:rPr>
                <w:rFonts w:ascii="Calibri" w:hAnsi="Calibri"/>
                <w:color w:val="282828"/>
                <w:sz w:val="18"/>
              </w:rPr>
              <w:t>Consumer Price Index measuring regional inflation</w:t>
            </w:r>
          </w:p>
        </w:tc>
      </w:tr>
      <w:tr>
        <w:tc>
          <w:tcPr>
            <w:tcW w:type="dxa" w:w="2016"/>
            <w:shd w:fill="F9FAFC"/>
            <w:tcMar>
              <w:top w:w="80" w:type="dxa"/>
              <w:bottom w:w="80" w:type="dxa"/>
              <w:left w:w="120" w:type="dxa"/>
              <w:right w:w="120" w:type="dxa"/>
            </w:tcMar>
          </w:tcPr>
          <w:p>
            <w:pPr>
              <w:jc w:val="left"/>
            </w:pPr>
            <w:r>
              <w:rPr>
                <w:rFonts w:ascii="Calibri" w:hAnsi="Calibri"/>
                <w:color w:val="282828"/>
                <w:sz w:val="18"/>
              </w:rPr>
              <w:t>Unemployment</w:t>
            </w:r>
          </w:p>
        </w:tc>
        <w:tc>
          <w:tcPr>
            <w:tcW w:type="dxa" w:w="2160"/>
            <w:shd w:fill="F9FAFC"/>
            <w:tcMar>
              <w:top w:w="80" w:type="dxa"/>
              <w:bottom w:w="80" w:type="dxa"/>
              <w:left w:w="120" w:type="dxa"/>
              <w:right w:w="120" w:type="dxa"/>
            </w:tcMar>
          </w:tcPr>
          <w:p>
            <w:pPr>
              <w:jc w:val="left"/>
            </w:pPr>
            <w:r>
              <w:rPr>
                <w:rFonts w:ascii="Calibri" w:hAnsi="Calibri"/>
                <w:color w:val="282828"/>
                <w:sz w:val="18"/>
              </w:rPr>
              <w:t>features.csv</w:t>
            </w:r>
          </w:p>
        </w:tc>
        <w:tc>
          <w:tcPr>
            <w:tcW w:type="dxa" w:w="2160"/>
            <w:shd w:fill="F9FAFC"/>
            <w:tcMar>
              <w:top w:w="80" w:type="dxa"/>
              <w:bottom w:w="80" w:type="dxa"/>
              <w:left w:w="120" w:type="dxa"/>
              <w:right w:w="120" w:type="dxa"/>
            </w:tcMar>
          </w:tcPr>
          <w:p>
            <w:pPr>
              <w:jc w:val="left"/>
            </w:pPr>
            <w:r>
              <w:rPr>
                <w:rFonts w:ascii="Calibri" w:hAnsi="Calibri"/>
                <w:color w:val="282828"/>
                <w:sz w:val="18"/>
              </w:rPr>
              <w:t>Float (3.88% to 14.31%)</w:t>
            </w:r>
          </w:p>
        </w:tc>
        <w:tc>
          <w:tcPr>
            <w:tcW w:type="dxa" w:w="3456"/>
            <w:shd w:fill="F9FAFC"/>
            <w:tcMar>
              <w:top w:w="80" w:type="dxa"/>
              <w:bottom w:w="80" w:type="dxa"/>
              <w:left w:w="120" w:type="dxa"/>
              <w:right w:w="120" w:type="dxa"/>
            </w:tcMar>
          </w:tcPr>
          <w:p>
            <w:pPr>
              <w:jc w:val="left"/>
            </w:pPr>
            <w:r>
              <w:rPr>
                <w:rFonts w:ascii="Calibri" w:hAnsi="Calibri"/>
                <w:color w:val="282828"/>
                <w:sz w:val="18"/>
              </w:rPr>
              <w:t>Regional unemployment rate</w:t>
            </w:r>
          </w:p>
        </w:tc>
      </w:tr>
    </w:tbl>
    <w:p>
      <w:pPr>
        <w:spacing w:after="280" w:before="80" w:line="276" w:lineRule="auto"/>
        <w:jc w:val="center"/>
      </w:pPr>
      <w:r>
        <w:rPr>
          <w:rFonts w:ascii="Calibri" w:hAnsi="Calibri"/>
          <w:color w:val="282828"/>
          <w:sz w:val="22"/>
        </w:rPr>
        <w:t>Table 6.2: Structural Schema of Primary Data Tables</w:t>
      </w:r>
    </w:p>
    <w:p>
      <w:pPr>
        <w:keepNext/>
        <w:spacing w:before="360" w:after="160"/>
      </w:pPr>
      <w:r>
        <w:rPr>
          <w:rFonts w:ascii="Calibri" w:hAnsi="Calibri"/>
          <w:b/>
          <w:color w:val="1F4E79"/>
          <w:sz w:val="32"/>
        </w:rPr>
        <w:t>7. DATA UNDERSTANDING AND PREPROCESSING</w:t>
      </w:r>
    </w:p>
    <w:p>
      <w:pPr>
        <w:spacing w:after="120" w:before="0" w:line="276" w:lineRule="auto"/>
        <w:jc w:val="both"/>
      </w:pPr>
      <w:r>
        <w:rPr>
          <w:rFonts w:ascii="Calibri" w:hAnsi="Calibri"/>
          <w:color w:val="282828"/>
          <w:sz w:val="22"/>
        </w:rPr>
        <w:t>Raw transactional datasets are prone to missing values, anomalous records, and relational fragmentation. A rigorous preprocessing pipeline was established in src/data_preprocessing.py to ensure high data integrity:</w:t>
      </w:r>
    </w:p>
    <w:p>
      <w:pPr>
        <w:keepNext/>
        <w:spacing w:before="240" w:after="100"/>
      </w:pPr>
      <w:r>
        <w:rPr>
          <w:rFonts w:ascii="Calibri" w:hAnsi="Calibri"/>
          <w:b/>
          <w:color w:val="2E5597"/>
          <w:sz w:val="26"/>
        </w:rPr>
        <w:t>7.1 Missing-Value Diagnosis and Imputation</w:t>
      </w:r>
    </w:p>
    <w:p>
      <w:pPr>
        <w:spacing w:after="120" w:before="0" w:line="276" w:lineRule="auto"/>
        <w:jc w:val="both"/>
      </w:pPr>
      <w:r>
        <w:rPr>
          <w:rFonts w:ascii="Calibri" w:hAnsi="Calibri"/>
          <w:color w:val="282828"/>
          <w:sz w:val="22"/>
        </w:rPr>
        <w:t>A systematic missing-value audit was executed across all tables. While train.csv, test.csv, and stores.csv exhibit 100% completeness (zero missing cells), features.csv presents substantial structural missingness:</w:t>
      </w:r>
    </w:p>
    <w:p>
      <w:pPr>
        <w:pStyle w:val="ListBullet"/>
        <w:spacing w:after="80" w:line="276" w:lineRule="auto"/>
      </w:pPr>
      <w:r>
        <w:rPr>
          <w:rFonts w:ascii="Calibri" w:hAnsi="Calibri"/>
          <w:b/>
          <w:color w:val="282828"/>
          <w:sz w:val="21"/>
        </w:rPr>
        <w:t xml:space="preserve">Promotional Markdowns (MarkDown1 to MarkDown5): </w:t>
      </w:r>
      <w:r>
        <w:rPr>
          <w:rFonts w:ascii="Calibri" w:hAnsi="Calibri"/>
          <w:color w:val="282828"/>
          <w:sz w:val="21"/>
        </w:rPr>
        <w:t>MarkDown columns contain between 50% and 64% missing values. Analysis confirms that markdowns were only systematically introduced and tracked by Walmart starting in November 2011. Imputing with mean or median would introduce false promotional activity. Therefore, all missing markdown values were imputed with 0.0, establishing a baseline of zero promotional discount.</w:t>
      </w:r>
    </w:p>
    <w:p>
      <w:pPr>
        <w:pStyle w:val="ListBullet"/>
        <w:spacing w:after="80" w:line="276" w:lineRule="auto"/>
      </w:pPr>
      <w:r>
        <w:rPr>
          <w:rFonts w:ascii="Calibri" w:hAnsi="Calibri"/>
          <w:b/>
          <w:color w:val="282828"/>
          <w:sz w:val="21"/>
        </w:rPr>
        <w:t xml:space="preserve">Macroeconomic Variables (CPI and Unemployment): </w:t>
      </w:r>
      <w:r>
        <w:rPr>
          <w:rFonts w:ascii="Calibri" w:hAnsi="Calibri"/>
          <w:color w:val="282828"/>
          <w:sz w:val="21"/>
        </w:rPr>
        <w:t>In features.csv, 585 values (7.14%) are missing, exclusively concentrated in the future test horizon of 2013 for specific stores. These gaps were imputed using median column values to prevent disruption during feature scaling.</w:t>
      </w:r>
    </w:p>
    <w:p>
      <w:pPr>
        <w:keepNext/>
        <w:spacing w:before="240" w:after="100"/>
      </w:pPr>
      <w:r>
        <w:rPr>
          <w:rFonts w:ascii="Calibri" w:hAnsi="Calibri"/>
          <w:b/>
          <w:color w:val="2E5597"/>
          <w:sz w:val="26"/>
        </w:rPr>
        <w:t>7.2 Anomaly and Negative Sales Treatment</w:t>
      </w:r>
    </w:p>
    <w:p>
      <w:pPr>
        <w:spacing w:after="120" w:before="0" w:line="276" w:lineRule="auto"/>
        <w:jc w:val="both"/>
      </w:pPr>
      <w:r>
        <w:rPr>
          <w:rFonts w:ascii="Calibri" w:hAnsi="Calibri"/>
          <w:color w:val="282828"/>
          <w:sz w:val="22"/>
        </w:rPr>
        <w:t>In train.csv, exactly 1,285 records (0.30% of total) exhibit negative Weekly_Sales values (minimum -$4,988.94), and 73 records exhibit exactly $0.00 sales. Domain investigation indicates that negative sales represent customer returns or inter-store inventory reallocations that exceed current-week purchases. While these rows are retained in the historical training log to avoid altering transactional totals, they are isolated during MAPE calculation to prevent mathematical instability (division by near-zero).</w:t>
      </w:r>
    </w:p>
    <w:p>
      <w:pPr>
        <w:keepNext/>
        <w:spacing w:before="240" w:after="100"/>
      </w:pPr>
      <w:r>
        <w:rPr>
          <w:rFonts w:ascii="Calibri" w:hAnsi="Calibri"/>
          <w:b/>
          <w:color w:val="2E5597"/>
          <w:sz w:val="26"/>
        </w:rPr>
        <w:t>7.3 Relational Data Integration</w:t>
      </w:r>
    </w:p>
    <w:p>
      <w:pPr>
        <w:spacing w:after="120" w:before="0" w:line="276" w:lineRule="auto"/>
        <w:jc w:val="both"/>
      </w:pPr>
      <w:r>
        <w:rPr>
          <w:rFonts w:ascii="Calibri" w:hAnsi="Calibri"/>
          <w:color w:val="282828"/>
          <w:sz w:val="22"/>
        </w:rPr>
        <w:t>The training and test datasets were enriched by executing a two-stage merge. First, train.csv was merged with stores.csv on the Store key. Next, the resulting table was merged with features.csv on the composite key [Store, Date]. The IsHoliday column present in both tables was harmonized into a single boolean feature. Verification confirmed that the merge was strictly row-preserving: 421,570 training rows and 115,064 test rows were preserved exactly with zero data duplication.</w:t>
      </w:r>
    </w:p>
    <w:p>
      <w:r>
        <w:br w:type="page"/>
      </w:r>
    </w:p>
    <w:p>
      <w:pPr>
        <w:keepNext/>
        <w:spacing w:before="360" w:after="160"/>
      </w:pPr>
      <w:r>
        <w:rPr>
          <w:rFonts w:ascii="Calibri" w:hAnsi="Calibri"/>
          <w:b/>
          <w:color w:val="1F4E79"/>
          <w:sz w:val="32"/>
        </w:rPr>
        <w:t>8. EXPLORATORY DATA ANALYSIS (EDA)</w:t>
      </w:r>
    </w:p>
    <w:p>
      <w:pPr>
        <w:spacing w:after="120" w:before="0" w:line="276" w:lineRule="auto"/>
        <w:jc w:val="both"/>
      </w:pPr>
      <w:r>
        <w:rPr>
          <w:rFonts w:ascii="Calibri" w:hAnsi="Calibri"/>
          <w:color w:val="282828"/>
          <w:sz w:val="22"/>
        </w:rPr>
        <w:t>Exploratory Data Analysis was conducted across multiple analytical dimensions to uncover underlying patterns, seasonal rhythms, structural correlations, and behavioral anomalies within the Walmart enterprise.</w:t>
      </w:r>
    </w:p>
    <w:p>
      <w:pPr>
        <w:keepNext/>
        <w:spacing w:before="200" w:after="80"/>
        <w:jc w:val="center"/>
      </w:pPr>
      <w:r>
        <w:drawing>
          <wp:inline xmlns:a="http://schemas.openxmlformats.org/drawingml/2006/main" xmlns:pic="http://schemas.openxmlformats.org/drawingml/2006/picture">
            <wp:extent cx="5303520" cy="1861332"/>
            <wp:docPr id="1" name="Picture 1"/>
            <wp:cNvGraphicFramePr>
              <a:graphicFrameLocks noChangeAspect="1"/>
            </wp:cNvGraphicFramePr>
            <a:graphic>
              <a:graphicData uri="http://schemas.openxmlformats.org/drawingml/2006/picture">
                <pic:pic>
                  <pic:nvPicPr>
                    <pic:cNvPr id="0" name="sales_distribution.png"/>
                    <pic:cNvPicPr/>
                  </pic:nvPicPr>
                  <pic:blipFill>
                    <a:blip r:embed="rId11"/>
                    <a:stretch>
                      <a:fillRect/>
                    </a:stretch>
                  </pic:blipFill>
                  <pic:spPr>
                    <a:xfrm>
                      <a:off x="0" y="0"/>
                      <a:ext cx="5303520" cy="1861332"/>
                    </a:xfrm>
                    <a:prstGeom prst="rect"/>
                  </pic:spPr>
                </pic:pic>
              </a:graphicData>
            </a:graphic>
          </wp:inline>
        </w:drawing>
      </w:r>
    </w:p>
    <w:p>
      <w:pPr>
        <w:keepNext/>
        <w:spacing w:before="40" w:after="120"/>
        <w:jc w:val="center"/>
      </w:pPr>
      <w:r>
        <w:rPr>
          <w:rFonts w:ascii="Calibri" w:hAnsi="Calibri"/>
          <w:b/>
          <w:i/>
          <w:color w:val="1F4E79"/>
          <w:sz w:val="19"/>
        </w:rPr>
        <w:t>Figure 8.1: Weekly Sales Distribution and Skewness</w:t>
      </w:r>
    </w:p>
    <w:p>
      <w:pPr>
        <w:spacing w:after="160" w:before="40" w:line="276" w:lineRule="auto"/>
        <w:jc w:val="both"/>
      </w:pPr>
      <w:r>
        <w:rPr>
          <w:rFonts w:ascii="Calibri" w:hAnsi="Calibri"/>
          <w:color w:val="282828"/>
          <w:sz w:val="22"/>
        </w:rPr>
        <w:t>Analysis of Figure 8.1 reveals that weekly departmental sales are heavily right-skewed, with the majority of weekly observations clustering between $2,000 and $15,000, while high-volume departments generate a long tail extending past $100,000. The mean sales figure ($15,981) significantly exceeds the median ($7,612), indicating high revenue concentration in elite departments and major holiday weeks.</w:t>
      </w:r>
    </w:p>
    <w:p>
      <w:pPr>
        <w:keepNext/>
        <w:spacing w:before="200" w:after="80"/>
        <w:jc w:val="center"/>
      </w:pPr>
      <w:r>
        <w:drawing>
          <wp:inline xmlns:a="http://schemas.openxmlformats.org/drawingml/2006/main" xmlns:pic="http://schemas.openxmlformats.org/drawingml/2006/picture">
            <wp:extent cx="5303520" cy="1861332"/>
            <wp:docPr id="2" name="Picture 2"/>
            <wp:cNvGraphicFramePr>
              <a:graphicFrameLocks noChangeAspect="1"/>
            </wp:cNvGraphicFramePr>
            <a:graphic>
              <a:graphicData uri="http://schemas.openxmlformats.org/drawingml/2006/picture">
                <pic:pic>
                  <pic:nvPicPr>
                    <pic:cNvPr id="0" name="weekly_sales_trend.png"/>
                    <pic:cNvPicPr/>
                  </pic:nvPicPr>
                  <pic:blipFill>
                    <a:blip r:embed="rId12"/>
                    <a:stretch>
                      <a:fillRect/>
                    </a:stretch>
                  </pic:blipFill>
                  <pic:spPr>
                    <a:xfrm>
                      <a:off x="0" y="0"/>
                      <a:ext cx="5303520" cy="1861332"/>
                    </a:xfrm>
                    <a:prstGeom prst="rect"/>
                  </pic:spPr>
                </pic:pic>
              </a:graphicData>
            </a:graphic>
          </wp:inline>
        </w:drawing>
      </w:r>
    </w:p>
    <w:p>
      <w:pPr>
        <w:keepNext/>
        <w:spacing w:before="40" w:after="120"/>
        <w:jc w:val="center"/>
      </w:pPr>
      <w:r>
        <w:rPr>
          <w:rFonts w:ascii="Calibri" w:hAnsi="Calibri"/>
          <w:b/>
          <w:i/>
          <w:color w:val="1F4E79"/>
          <w:sz w:val="19"/>
        </w:rPr>
        <w:t>Figure 8.2: Longitudinal Weekly Sales Trend (2010–2012)</w:t>
      </w:r>
    </w:p>
    <w:p>
      <w:pPr>
        <w:spacing w:after="160" w:before="40" w:line="276" w:lineRule="auto"/>
        <w:jc w:val="both"/>
      </w:pPr>
      <w:r>
        <w:rPr>
          <w:rFonts w:ascii="Calibri" w:hAnsi="Calibri"/>
          <w:color w:val="282828"/>
          <w:sz w:val="22"/>
        </w:rPr>
        <w:t>Figure 8.2 tracks weekly sales across the 143-week historical timeline. Baseline weekly chain sales consistently hover between $42M and $48M. However, dramatic demand surges occur annually during Week 47 (Thanksgiving / Black Friday, surpassing $65M) and Week 51 (pre-Christmas week, peaking above $80M). A secondary post-Christmas dip occurs in January.</w:t>
      </w:r>
    </w:p>
    <w:p>
      <w:pPr>
        <w:keepNext/>
        <w:spacing w:before="200" w:after="80"/>
        <w:jc w:val="center"/>
      </w:pPr>
      <w:r>
        <w:drawing>
          <wp:inline xmlns:a="http://schemas.openxmlformats.org/drawingml/2006/main" xmlns:pic="http://schemas.openxmlformats.org/drawingml/2006/picture">
            <wp:extent cx="5303520" cy="1861332"/>
            <wp:docPr id="3" name="Picture 3"/>
            <wp:cNvGraphicFramePr>
              <a:graphicFrameLocks noChangeAspect="1"/>
            </wp:cNvGraphicFramePr>
            <a:graphic>
              <a:graphicData uri="http://schemas.openxmlformats.org/drawingml/2006/picture">
                <pic:pic>
                  <pic:nvPicPr>
                    <pic:cNvPr id="0" name="monthly_sales.png"/>
                    <pic:cNvPicPr/>
                  </pic:nvPicPr>
                  <pic:blipFill>
                    <a:blip r:embed="rId13"/>
                    <a:stretch>
                      <a:fillRect/>
                    </a:stretch>
                  </pic:blipFill>
                  <pic:spPr>
                    <a:xfrm>
                      <a:off x="0" y="0"/>
                      <a:ext cx="5303520" cy="1861332"/>
                    </a:xfrm>
                    <a:prstGeom prst="rect"/>
                  </pic:spPr>
                </pic:pic>
              </a:graphicData>
            </a:graphic>
          </wp:inline>
        </w:drawing>
      </w:r>
    </w:p>
    <w:p>
      <w:pPr>
        <w:keepNext/>
        <w:spacing w:before="40" w:after="120"/>
        <w:jc w:val="center"/>
      </w:pPr>
      <w:r>
        <w:rPr>
          <w:rFonts w:ascii="Calibri" w:hAnsi="Calibri"/>
          <w:b/>
          <w:i/>
          <w:color w:val="1F4E79"/>
          <w:sz w:val="19"/>
        </w:rPr>
        <w:t>Figure 8.3: Monthly Aggregate Sales Trend</w:t>
      </w:r>
    </w:p>
    <w:p>
      <w:pPr>
        <w:spacing w:after="160" w:before="40" w:line="276" w:lineRule="auto"/>
        <w:jc w:val="both"/>
      </w:pPr>
      <w:r>
        <w:rPr>
          <w:rFonts w:ascii="Calibri" w:hAnsi="Calibri"/>
          <w:color w:val="282828"/>
          <w:sz w:val="22"/>
        </w:rPr>
        <w:t>Figure 8.3 highlights monthly aggregate revenue. Sales remain relatively stable from February through October (averaging $15,000 to $16,000 per department-week) before expanding sharply in November ($18,800 average) and peaking in December ($21,500 average), corroborating the paramount significance of Q4 holiday retail execution.</w:t>
      </w:r>
    </w:p>
    <w:p>
      <w:pPr>
        <w:keepNext/>
        <w:spacing w:before="200" w:after="80"/>
        <w:jc w:val="center"/>
      </w:pPr>
      <w:r>
        <w:drawing>
          <wp:inline xmlns:a="http://schemas.openxmlformats.org/drawingml/2006/main" xmlns:pic="http://schemas.openxmlformats.org/drawingml/2006/picture">
            <wp:extent cx="5303520" cy="1861332"/>
            <wp:docPr id="4" name="Picture 4"/>
            <wp:cNvGraphicFramePr>
              <a:graphicFrameLocks noChangeAspect="1"/>
            </wp:cNvGraphicFramePr>
            <a:graphic>
              <a:graphicData uri="http://schemas.openxmlformats.org/drawingml/2006/picture">
                <pic:pic>
                  <pic:nvPicPr>
                    <pic:cNvPr id="0" name="seasonal_pattern.png"/>
                    <pic:cNvPicPr/>
                  </pic:nvPicPr>
                  <pic:blipFill>
                    <a:blip r:embed="rId14"/>
                    <a:stretch>
                      <a:fillRect/>
                    </a:stretch>
                  </pic:blipFill>
                  <pic:spPr>
                    <a:xfrm>
                      <a:off x="0" y="0"/>
                      <a:ext cx="5303520" cy="1861332"/>
                    </a:xfrm>
                    <a:prstGeom prst="rect"/>
                  </pic:spPr>
                </pic:pic>
              </a:graphicData>
            </a:graphic>
          </wp:inline>
        </w:drawing>
      </w:r>
    </w:p>
    <w:p>
      <w:pPr>
        <w:keepNext/>
        <w:spacing w:before="40" w:after="120"/>
        <w:jc w:val="center"/>
      </w:pPr>
      <w:r>
        <w:rPr>
          <w:rFonts w:ascii="Calibri" w:hAnsi="Calibri"/>
          <w:b/>
          <w:i/>
          <w:color w:val="1F4E79"/>
          <w:sz w:val="19"/>
        </w:rPr>
        <w:t>Figure 8.4: Annual Seasonal Comparison (2010 vs 2011 vs 2012)</w:t>
      </w:r>
    </w:p>
    <w:p>
      <w:pPr>
        <w:spacing w:after="160" w:before="40" w:line="276" w:lineRule="auto"/>
        <w:jc w:val="both"/>
      </w:pPr>
      <w:r>
        <w:rPr>
          <w:rFonts w:ascii="Calibri" w:hAnsi="Calibri"/>
          <w:color w:val="282828"/>
          <w:sz w:val="22"/>
        </w:rPr>
        <w:t>Comparing annual profiles in Figure 8.4 demonstrates remarkable cyclical consistency across 2010 and 2011. The timing and relative amplitude of holiday spikes align closely across calendar years, confirming that seasonal calendar features (WeekOfYear) carry strong predictive power.</w:t>
      </w:r>
    </w:p>
    <w:p>
      <w:r>
        <w:br w:type="page"/>
      </w:r>
    </w:p>
    <w:p>
      <w:pPr>
        <w:keepNext/>
        <w:spacing w:before="200" w:after="80"/>
        <w:jc w:val="center"/>
      </w:pPr>
      <w:r>
        <w:drawing>
          <wp:inline xmlns:a="http://schemas.openxmlformats.org/drawingml/2006/main" xmlns:pic="http://schemas.openxmlformats.org/drawingml/2006/picture">
            <wp:extent cx="5303520" cy="1960965"/>
            <wp:docPr id="5" name="Picture 5"/>
            <wp:cNvGraphicFramePr>
              <a:graphicFrameLocks noChangeAspect="1"/>
            </wp:cNvGraphicFramePr>
            <a:graphic>
              <a:graphicData uri="http://schemas.openxmlformats.org/drawingml/2006/picture">
                <pic:pic>
                  <pic:nvPicPr>
                    <pic:cNvPr id="0" name="store_analysis.png"/>
                    <pic:cNvPicPr/>
                  </pic:nvPicPr>
                  <pic:blipFill>
                    <a:blip r:embed="rId15"/>
                    <a:stretch>
                      <a:fillRect/>
                    </a:stretch>
                  </pic:blipFill>
                  <pic:spPr>
                    <a:xfrm>
                      <a:off x="0" y="0"/>
                      <a:ext cx="5303520" cy="1960965"/>
                    </a:xfrm>
                    <a:prstGeom prst="rect"/>
                  </pic:spPr>
                </pic:pic>
              </a:graphicData>
            </a:graphic>
          </wp:inline>
        </w:drawing>
      </w:r>
    </w:p>
    <w:p>
      <w:pPr>
        <w:keepNext/>
        <w:spacing w:before="40" w:after="120"/>
        <w:jc w:val="center"/>
      </w:pPr>
      <w:r>
        <w:rPr>
          <w:rFonts w:ascii="Calibri" w:hAnsi="Calibri"/>
          <w:b/>
          <w:i/>
          <w:color w:val="1F4E79"/>
          <w:sz w:val="19"/>
        </w:rPr>
        <w:t>Figure 8.5: Total Historical Sales by Store (Store 1 to Store 45)</w:t>
      </w:r>
    </w:p>
    <w:p>
      <w:pPr>
        <w:spacing w:after="160" w:before="40" w:line="276" w:lineRule="auto"/>
        <w:jc w:val="both"/>
      </w:pPr>
      <w:r>
        <w:rPr>
          <w:rFonts w:ascii="Calibri" w:hAnsi="Calibri"/>
          <w:color w:val="282828"/>
          <w:sz w:val="22"/>
        </w:rPr>
        <w:t>Figure 8.5 illustrates immense performance variance across individual stores. Store 20 leads the enterprise with over $301M in cumulative sales, followed closely by Store 4 ($299M) and Store 14 ($288M). Conversely, Store 33 generated only $37M over the same period, illustrating an 8-fold disparity in store revenue generation capacity.</w:t>
      </w:r>
    </w:p>
    <w:p>
      <w:pPr>
        <w:keepNext/>
        <w:spacing w:before="200" w:after="80"/>
        <w:jc w:val="center"/>
      </w:pPr>
      <w:r>
        <w:drawing>
          <wp:inline xmlns:a="http://schemas.openxmlformats.org/drawingml/2006/main" xmlns:pic="http://schemas.openxmlformats.org/drawingml/2006/picture">
            <wp:extent cx="4572000" cy="2725392"/>
            <wp:docPr id="6" name="Picture 6"/>
            <wp:cNvGraphicFramePr>
              <a:graphicFrameLocks noChangeAspect="1"/>
            </wp:cNvGraphicFramePr>
            <a:graphic>
              <a:graphicData uri="http://schemas.openxmlformats.org/drawingml/2006/picture">
                <pic:pic>
                  <pic:nvPicPr>
                    <pic:cNvPr id="0" name="store_size_vs_sales.png"/>
                    <pic:cNvPicPr/>
                  </pic:nvPicPr>
                  <pic:blipFill>
                    <a:blip r:embed="rId16"/>
                    <a:stretch>
                      <a:fillRect/>
                    </a:stretch>
                  </pic:blipFill>
                  <pic:spPr>
                    <a:xfrm>
                      <a:off x="0" y="0"/>
                      <a:ext cx="4572000" cy="2725392"/>
                    </a:xfrm>
                    <a:prstGeom prst="rect"/>
                  </pic:spPr>
                </pic:pic>
              </a:graphicData>
            </a:graphic>
          </wp:inline>
        </w:drawing>
      </w:r>
    </w:p>
    <w:p>
      <w:pPr>
        <w:keepNext/>
        <w:spacing w:before="40" w:after="120"/>
        <w:jc w:val="center"/>
      </w:pPr>
      <w:r>
        <w:rPr>
          <w:rFonts w:ascii="Calibri" w:hAnsi="Calibri"/>
          <w:b/>
          <w:i/>
          <w:color w:val="1F4E79"/>
          <w:sz w:val="19"/>
        </w:rPr>
        <w:t>Figure 8.6: Store Physical Size vs Average Weekly Sales by Store Type</w:t>
      </w:r>
    </w:p>
    <w:p>
      <w:pPr>
        <w:spacing w:after="160" w:before="40" w:line="276" w:lineRule="auto"/>
        <w:jc w:val="both"/>
      </w:pPr>
      <w:r>
        <w:rPr>
          <w:rFonts w:ascii="Calibri" w:hAnsi="Calibri"/>
          <w:color w:val="282828"/>
          <w:sz w:val="22"/>
        </w:rPr>
        <w:t>Figure 8.6 examines store physical area (square feet) versus average weekly revenue, colored by store type. A strong positive correlation (Pearson r = 0.79) exists between store size and sales volume. Type A stores (blue circles) cluster in the upper-right quadrant (&gt;150,000 sq ft, &gt;$20,000 weekly average), Type B stores occupy the mid-tier (100,000–140,000 sq ft), and Type C stores cluster below 50,000 sq ft.</w:t>
      </w:r>
    </w:p>
    <w:p>
      <w:pPr>
        <w:keepNext/>
        <w:spacing w:before="200" w:after="80"/>
        <w:jc w:val="center"/>
      </w:pPr>
      <w:r>
        <w:drawing>
          <wp:inline xmlns:a="http://schemas.openxmlformats.org/drawingml/2006/main" xmlns:pic="http://schemas.openxmlformats.org/drawingml/2006/picture">
            <wp:extent cx="5120640" cy="2531552"/>
            <wp:docPr id="7" name="Picture 7"/>
            <wp:cNvGraphicFramePr>
              <a:graphicFrameLocks noChangeAspect="1"/>
            </wp:cNvGraphicFramePr>
            <a:graphic>
              <a:graphicData uri="http://schemas.openxmlformats.org/drawingml/2006/picture">
                <pic:pic>
                  <pic:nvPicPr>
                    <pic:cNvPr id="0" name="department_analysis.png"/>
                    <pic:cNvPicPr/>
                  </pic:nvPicPr>
                  <pic:blipFill>
                    <a:blip r:embed="rId17"/>
                    <a:stretch>
                      <a:fillRect/>
                    </a:stretch>
                  </pic:blipFill>
                  <pic:spPr>
                    <a:xfrm>
                      <a:off x="0" y="0"/>
                      <a:ext cx="5120640" cy="2531552"/>
                    </a:xfrm>
                    <a:prstGeom prst="rect"/>
                  </pic:spPr>
                </pic:pic>
              </a:graphicData>
            </a:graphic>
          </wp:inline>
        </w:drawing>
      </w:r>
    </w:p>
    <w:p>
      <w:pPr>
        <w:keepNext/>
        <w:spacing w:before="40" w:after="120"/>
        <w:jc w:val="center"/>
      </w:pPr>
      <w:r>
        <w:rPr>
          <w:rFonts w:ascii="Calibri" w:hAnsi="Calibri"/>
          <w:b/>
          <w:i/>
          <w:color w:val="1F4E79"/>
          <w:sz w:val="19"/>
        </w:rPr>
        <w:t>Figure 8.7: Top 20 Revenue-Generating Departments</w:t>
      </w:r>
    </w:p>
    <w:p>
      <w:pPr>
        <w:spacing w:after="160" w:before="40" w:line="276" w:lineRule="auto"/>
        <w:jc w:val="both"/>
      </w:pPr>
      <w:r>
        <w:rPr>
          <w:rFonts w:ascii="Calibri" w:hAnsi="Calibri"/>
          <w:color w:val="282828"/>
          <w:sz w:val="22"/>
        </w:rPr>
        <w:t>Figure 8.7 ranks the top 20 departments across the chain. Department 92 is the undisputed revenue leader, generating over $484M in historical sales, followed by Department 95 ($449M), Department 38 ($393M), and Department 72 ($306M). The top 10 departments account for approximately 48% of total retail sales, confirming the Pareto distribution.</w:t>
      </w:r>
    </w:p>
    <w:p>
      <w:pPr>
        <w:keepNext/>
        <w:spacing w:before="200" w:after="80"/>
        <w:jc w:val="center"/>
      </w:pPr>
      <w:r>
        <w:drawing>
          <wp:inline xmlns:a="http://schemas.openxmlformats.org/drawingml/2006/main" xmlns:pic="http://schemas.openxmlformats.org/drawingml/2006/picture">
            <wp:extent cx="5120640" cy="1797148"/>
            <wp:docPr id="8" name="Picture 8"/>
            <wp:cNvGraphicFramePr>
              <a:graphicFrameLocks noChangeAspect="1"/>
            </wp:cNvGraphicFramePr>
            <a:graphic>
              <a:graphicData uri="http://schemas.openxmlformats.org/drawingml/2006/picture">
                <pic:pic>
                  <pic:nvPicPr>
                    <pic:cNvPr id="0" name="holiday_analysis.png"/>
                    <pic:cNvPicPr/>
                  </pic:nvPicPr>
                  <pic:blipFill>
                    <a:blip r:embed="rId18"/>
                    <a:stretch>
                      <a:fillRect/>
                    </a:stretch>
                  </pic:blipFill>
                  <pic:spPr>
                    <a:xfrm>
                      <a:off x="0" y="0"/>
                      <a:ext cx="5120640" cy="1797148"/>
                    </a:xfrm>
                    <a:prstGeom prst="rect"/>
                  </pic:spPr>
                </pic:pic>
              </a:graphicData>
            </a:graphic>
          </wp:inline>
        </w:drawing>
      </w:r>
    </w:p>
    <w:p>
      <w:pPr>
        <w:keepNext/>
        <w:spacing w:before="40" w:after="120"/>
        <w:jc w:val="center"/>
      </w:pPr>
      <w:r>
        <w:rPr>
          <w:rFonts w:ascii="Calibri" w:hAnsi="Calibri"/>
          <w:b/>
          <w:i/>
          <w:color w:val="1F4E79"/>
          <w:sz w:val="19"/>
        </w:rPr>
        <w:t>Figure 8.8: Holiday vs Non-Holiday Weekly Sales Distribution</w:t>
      </w:r>
    </w:p>
    <w:p>
      <w:pPr>
        <w:spacing w:after="160" w:before="40" w:line="276" w:lineRule="auto"/>
        <w:jc w:val="both"/>
      </w:pPr>
      <w:r>
        <w:rPr>
          <w:rFonts w:ascii="Calibri" w:hAnsi="Calibri"/>
          <w:color w:val="282828"/>
          <w:sz w:val="22"/>
        </w:rPr>
        <w:t>Figure 8.8 compares weekly sales during official holiday weeks versus regular weeks. Holiday weeks exhibit an average weekly sales of $17,036 compared to $15,901 during non-holiday weeks—a statistically significant 7.14% baseline lift, driven primarily by Thanksgiving and Christmas.</w:t>
      </w:r>
    </w:p>
    <w:p>
      <w:r>
        <w:br w:type="page"/>
      </w:r>
    </w:p>
    <w:p>
      <w:pPr>
        <w:keepNext/>
        <w:spacing w:before="200" w:after="80"/>
        <w:jc w:val="center"/>
      </w:pPr>
      <w:r>
        <w:drawing>
          <wp:inline xmlns:a="http://schemas.openxmlformats.org/drawingml/2006/main" xmlns:pic="http://schemas.openxmlformats.org/drawingml/2006/picture">
            <wp:extent cx="4754880" cy="3383280"/>
            <wp:docPr id="9" name="Picture 9"/>
            <wp:cNvGraphicFramePr>
              <a:graphicFrameLocks noChangeAspect="1"/>
            </wp:cNvGraphicFramePr>
            <a:graphic>
              <a:graphicData uri="http://schemas.openxmlformats.org/drawingml/2006/picture">
                <pic:pic>
                  <pic:nvPicPr>
                    <pic:cNvPr id="0" name="external_factors.png"/>
                    <pic:cNvPicPr/>
                  </pic:nvPicPr>
                  <pic:blipFill>
                    <a:blip r:embed="rId19"/>
                    <a:stretch>
                      <a:fillRect/>
                    </a:stretch>
                  </pic:blipFill>
                  <pic:spPr>
                    <a:xfrm>
                      <a:off x="0" y="0"/>
                      <a:ext cx="4754880" cy="3383280"/>
                    </a:xfrm>
                    <a:prstGeom prst="rect"/>
                  </pic:spPr>
                </pic:pic>
              </a:graphicData>
            </a:graphic>
          </wp:inline>
        </w:drawing>
      </w:r>
    </w:p>
    <w:p>
      <w:pPr>
        <w:keepNext/>
        <w:spacing w:before="40" w:after="120"/>
        <w:jc w:val="center"/>
      </w:pPr>
      <w:r>
        <w:rPr>
          <w:rFonts w:ascii="Calibri" w:hAnsi="Calibri"/>
          <w:b/>
          <w:i/>
          <w:color w:val="1F4E79"/>
          <w:sz w:val="19"/>
        </w:rPr>
        <w:t>Figure 8.9: Relationship Between External Factors and Weekly Sales</w:t>
      </w:r>
    </w:p>
    <w:p>
      <w:pPr>
        <w:spacing w:after="160" w:before="40" w:line="276" w:lineRule="auto"/>
        <w:jc w:val="both"/>
      </w:pPr>
      <w:r>
        <w:rPr>
          <w:rFonts w:ascii="Calibri" w:hAnsi="Calibri"/>
          <w:color w:val="282828"/>
          <w:sz w:val="22"/>
        </w:rPr>
        <w:t>Figure 8.9 plots Weekly_Sales against Temperature, Fuel_Price, CPI, and Unemployment. In each subplot, the scatter distribution is widely dispersed with virtually horizontal regression trend lines, indicating that macroeconomic and meteorological variables exert very weak direct linear correlation on aggregate sales.</w:t>
      </w:r>
    </w:p>
    <w:p>
      <w:pPr>
        <w:keepNext/>
        <w:spacing w:before="200" w:after="80"/>
        <w:jc w:val="center"/>
      </w:pPr>
      <w:r>
        <w:drawing>
          <wp:inline xmlns:a="http://schemas.openxmlformats.org/drawingml/2006/main" xmlns:pic="http://schemas.openxmlformats.org/drawingml/2006/picture">
            <wp:extent cx="4389120" cy="3875538"/>
            <wp:docPr id="10" name="Picture 10"/>
            <wp:cNvGraphicFramePr>
              <a:graphicFrameLocks noChangeAspect="1"/>
            </wp:cNvGraphicFramePr>
            <a:graphic>
              <a:graphicData uri="http://schemas.openxmlformats.org/drawingml/2006/picture">
                <pic:pic>
                  <pic:nvPicPr>
                    <pic:cNvPr id="0" name="correlation_heatmap.png"/>
                    <pic:cNvPicPr/>
                  </pic:nvPicPr>
                  <pic:blipFill>
                    <a:blip r:embed="rId20"/>
                    <a:stretch>
                      <a:fillRect/>
                    </a:stretch>
                  </pic:blipFill>
                  <pic:spPr>
                    <a:xfrm>
                      <a:off x="0" y="0"/>
                      <a:ext cx="4389120" cy="3875538"/>
                    </a:xfrm>
                    <a:prstGeom prst="rect"/>
                  </pic:spPr>
                </pic:pic>
              </a:graphicData>
            </a:graphic>
          </wp:inline>
        </w:drawing>
      </w:r>
    </w:p>
    <w:p>
      <w:pPr>
        <w:keepNext/>
        <w:spacing w:before="40" w:after="120"/>
        <w:jc w:val="center"/>
      </w:pPr>
      <w:r>
        <w:rPr>
          <w:rFonts w:ascii="Calibri" w:hAnsi="Calibri"/>
          <w:b/>
          <w:i/>
          <w:color w:val="1F4E79"/>
          <w:sz w:val="19"/>
        </w:rPr>
        <w:t>Figure 8.10: Correlation Heatmap Across Numerical Features</w:t>
      </w:r>
    </w:p>
    <w:p>
      <w:pPr>
        <w:spacing w:after="160" w:before="40" w:line="276" w:lineRule="auto"/>
        <w:jc w:val="both"/>
      </w:pPr>
      <w:r>
        <w:rPr>
          <w:rFonts w:ascii="Calibri" w:hAnsi="Calibri"/>
          <w:color w:val="282828"/>
          <w:sz w:val="22"/>
        </w:rPr>
        <w:t>Figure 8.10 presents the Pearson correlation matrix. Weekly_Sales correlates moderately with store Size (r = 0.24) and shows negligible linear correlation with Temperature (-0.06), Fuel Price (0.00), CPI (-0.02), and Unemployment (-0.03). However, markdowns correlate positively with each other (MarkDown1 and MarkDown4 r = 0.81). This confirms that linear models will struggle and non-linear tree-based models are required.</w:t>
      </w:r>
    </w:p>
    <w:p>
      <w:r>
        <w:br w:type="page"/>
      </w:r>
    </w:p>
    <w:p>
      <w:pPr>
        <w:keepNext/>
        <w:spacing w:before="360" w:after="160"/>
      </w:pPr>
      <w:r>
        <w:rPr>
          <w:rFonts w:ascii="Calibri" w:hAnsi="Calibri"/>
          <w:b/>
          <w:color w:val="1F4E79"/>
          <w:sz w:val="32"/>
        </w:rPr>
        <w:t>9. FEATURE ENGINEERING</w:t>
      </w:r>
    </w:p>
    <w:p>
      <w:pPr>
        <w:spacing w:after="120" w:before="0" w:line="276" w:lineRule="auto"/>
        <w:jc w:val="both"/>
      </w:pPr>
      <w:r>
        <w:rPr>
          <w:rFonts w:ascii="Calibri" w:hAnsi="Calibri"/>
          <w:color w:val="282828"/>
          <w:sz w:val="22"/>
        </w:rPr>
        <w:t>Feature engineering translates raw transactional logs into high-signal numerical representations. Twenty-three feature columns were formulated in src/feature_engineering.py and validated against data leakage:</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c>
          <w:tcPr>
            <w:tcW w:type="dxa" w:w="2016"/>
            <w:shd w:fill="1F4E79"/>
            <w:tcMar>
              <w:top w:w="120" w:type="dxa"/>
              <w:bottom w:w="120" w:type="dxa"/>
              <w:left w:w="150" w:type="dxa"/>
              <w:right w:w="150" w:type="dxa"/>
            </w:tcMar>
          </w:tcPr>
          <w:p>
            <w:pPr>
              <w:jc w:val="center"/>
            </w:pPr>
            <w:r>
              <w:rPr>
                <w:rFonts w:ascii="Calibri" w:hAnsi="Calibri"/>
                <w:b/>
                <w:color w:val="FFFFFF"/>
                <w:sz w:val="19"/>
              </w:rPr>
              <w:t>Feature Name</w:t>
            </w:r>
          </w:p>
        </w:tc>
        <w:tc>
          <w:tcPr>
            <w:tcW w:type="dxa" w:w="2592"/>
            <w:shd w:fill="1F4E79"/>
            <w:tcMar>
              <w:top w:w="120" w:type="dxa"/>
              <w:bottom w:w="120" w:type="dxa"/>
              <w:left w:w="150" w:type="dxa"/>
              <w:right w:w="150" w:type="dxa"/>
            </w:tcMar>
          </w:tcPr>
          <w:p>
            <w:pPr>
              <w:jc w:val="center"/>
            </w:pPr>
            <w:r>
              <w:rPr>
                <w:rFonts w:ascii="Calibri" w:hAnsi="Calibri"/>
                <w:b/>
                <w:color w:val="FFFFFF"/>
                <w:sz w:val="19"/>
              </w:rPr>
              <w:t>Derivation Logic</w:t>
            </w:r>
          </w:p>
        </w:tc>
        <w:tc>
          <w:tcPr>
            <w:tcW w:type="dxa" w:w="1872"/>
            <w:shd w:fill="1F4E79"/>
            <w:tcMar>
              <w:top w:w="120" w:type="dxa"/>
              <w:bottom w:w="120" w:type="dxa"/>
              <w:left w:w="150" w:type="dxa"/>
              <w:right w:w="150" w:type="dxa"/>
            </w:tcMar>
          </w:tcPr>
          <w:p>
            <w:pPr>
              <w:jc w:val="center"/>
            </w:pPr>
            <w:r>
              <w:rPr>
                <w:rFonts w:ascii="Calibri" w:hAnsi="Calibri"/>
                <w:b/>
                <w:color w:val="FFFFFF"/>
                <w:sz w:val="19"/>
              </w:rPr>
              <w:t>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Operational Rationale</w:t>
            </w:r>
          </w:p>
        </w:tc>
      </w:tr>
      <w:tr>
        <w:tc>
          <w:tcPr>
            <w:tcW w:type="dxa" w:w="2016"/>
            <w:shd w:fill="FFFFFF"/>
            <w:tcMar>
              <w:top w:w="80" w:type="dxa"/>
              <w:bottom w:w="80" w:type="dxa"/>
              <w:left w:w="120" w:type="dxa"/>
              <w:right w:w="120" w:type="dxa"/>
            </w:tcMar>
          </w:tcPr>
          <w:p>
            <w:pPr>
              <w:jc w:val="left"/>
            </w:pPr>
            <w:r>
              <w:rPr>
                <w:rFonts w:ascii="Calibri" w:hAnsi="Calibri"/>
                <w:color w:val="282828"/>
                <w:sz w:val="18"/>
              </w:rPr>
              <w:t>Store</w:t>
            </w:r>
          </w:p>
        </w:tc>
        <w:tc>
          <w:tcPr>
            <w:tcW w:type="dxa" w:w="2592"/>
            <w:shd w:fill="FFFFFF"/>
            <w:tcMar>
              <w:top w:w="80" w:type="dxa"/>
              <w:bottom w:w="80" w:type="dxa"/>
              <w:left w:w="120" w:type="dxa"/>
              <w:right w:w="120" w:type="dxa"/>
            </w:tcMar>
          </w:tcPr>
          <w:p>
            <w:pPr>
              <w:jc w:val="left"/>
            </w:pPr>
            <w:r>
              <w:rPr>
                <w:rFonts w:ascii="Calibri" w:hAnsi="Calibri"/>
                <w:color w:val="282828"/>
                <w:sz w:val="18"/>
              </w:rPr>
              <w:t>Direct from train.csv</w:t>
            </w:r>
          </w:p>
        </w:tc>
        <w:tc>
          <w:tcPr>
            <w:tcW w:type="dxa" w:w="1872"/>
            <w:shd w:fill="FFFFFF"/>
            <w:tcMar>
              <w:top w:w="80" w:type="dxa"/>
              <w:bottom w:w="80" w:type="dxa"/>
              <w:left w:w="120" w:type="dxa"/>
              <w:right w:w="120" w:type="dxa"/>
            </w:tcMar>
          </w:tcPr>
          <w:p>
            <w:pPr>
              <w:jc w:val="left"/>
            </w:pPr>
            <w:r>
              <w:rPr>
                <w:rFonts w:ascii="Calibri" w:hAnsi="Calibri"/>
                <w:color w:val="282828"/>
                <w:sz w:val="18"/>
              </w:rPr>
              <w:t>Categorical (ID)</w:t>
            </w:r>
          </w:p>
        </w:tc>
        <w:tc>
          <w:tcPr>
            <w:tcW w:type="dxa" w:w="3312"/>
            <w:shd w:fill="FFFFFF"/>
            <w:tcMar>
              <w:top w:w="80" w:type="dxa"/>
              <w:bottom w:w="80" w:type="dxa"/>
              <w:left w:w="120" w:type="dxa"/>
              <w:right w:w="120" w:type="dxa"/>
            </w:tcMar>
          </w:tcPr>
          <w:p>
            <w:pPr>
              <w:jc w:val="left"/>
            </w:pPr>
            <w:r>
              <w:rPr>
                <w:rFonts w:ascii="Calibri" w:hAnsi="Calibri"/>
                <w:color w:val="282828"/>
                <w:sz w:val="18"/>
              </w:rPr>
              <w:t>Captures store identity, location, and regional trade area</w:t>
            </w:r>
          </w:p>
        </w:tc>
      </w:tr>
      <w:tr>
        <w:tc>
          <w:tcPr>
            <w:tcW w:type="dxa" w:w="2016"/>
            <w:shd w:fill="F9FAFC"/>
            <w:tcMar>
              <w:top w:w="80" w:type="dxa"/>
              <w:bottom w:w="80" w:type="dxa"/>
              <w:left w:w="120" w:type="dxa"/>
              <w:right w:w="120" w:type="dxa"/>
            </w:tcMar>
          </w:tcPr>
          <w:p>
            <w:pPr>
              <w:jc w:val="left"/>
            </w:pPr>
            <w:r>
              <w:rPr>
                <w:rFonts w:ascii="Calibri" w:hAnsi="Calibri"/>
                <w:color w:val="282828"/>
                <w:sz w:val="18"/>
              </w:rPr>
              <w:t>Dept</w:t>
            </w:r>
          </w:p>
        </w:tc>
        <w:tc>
          <w:tcPr>
            <w:tcW w:type="dxa" w:w="2592"/>
            <w:shd w:fill="F9FAFC"/>
            <w:tcMar>
              <w:top w:w="80" w:type="dxa"/>
              <w:bottom w:w="80" w:type="dxa"/>
              <w:left w:w="120" w:type="dxa"/>
              <w:right w:w="120" w:type="dxa"/>
            </w:tcMar>
          </w:tcPr>
          <w:p>
            <w:pPr>
              <w:jc w:val="left"/>
            </w:pPr>
            <w:r>
              <w:rPr>
                <w:rFonts w:ascii="Calibri" w:hAnsi="Calibri"/>
                <w:color w:val="282828"/>
                <w:sz w:val="18"/>
              </w:rPr>
              <w:t>Direct from train.csv</w:t>
            </w:r>
          </w:p>
        </w:tc>
        <w:tc>
          <w:tcPr>
            <w:tcW w:type="dxa" w:w="1872"/>
            <w:shd w:fill="F9FAFC"/>
            <w:tcMar>
              <w:top w:w="80" w:type="dxa"/>
              <w:bottom w:w="80" w:type="dxa"/>
              <w:left w:w="120" w:type="dxa"/>
              <w:right w:w="120" w:type="dxa"/>
            </w:tcMar>
          </w:tcPr>
          <w:p>
            <w:pPr>
              <w:jc w:val="left"/>
            </w:pPr>
            <w:r>
              <w:rPr>
                <w:rFonts w:ascii="Calibri" w:hAnsi="Calibri"/>
                <w:color w:val="282828"/>
                <w:sz w:val="18"/>
              </w:rPr>
              <w:t>Categorical (ID)</w:t>
            </w:r>
          </w:p>
        </w:tc>
        <w:tc>
          <w:tcPr>
            <w:tcW w:type="dxa" w:w="3312"/>
            <w:shd w:fill="F9FAFC"/>
            <w:tcMar>
              <w:top w:w="80" w:type="dxa"/>
              <w:bottom w:w="80" w:type="dxa"/>
              <w:left w:w="120" w:type="dxa"/>
              <w:right w:w="120" w:type="dxa"/>
            </w:tcMar>
          </w:tcPr>
          <w:p>
            <w:pPr>
              <w:jc w:val="left"/>
            </w:pPr>
            <w:r>
              <w:rPr>
                <w:rFonts w:ascii="Calibri" w:hAnsi="Calibri"/>
                <w:color w:val="282828"/>
                <w:sz w:val="18"/>
              </w:rPr>
              <w:t>Captures merchandise category volume and demand velocity</w:t>
            </w:r>
          </w:p>
        </w:tc>
      </w:tr>
      <w:tr>
        <w:tc>
          <w:tcPr>
            <w:tcW w:type="dxa" w:w="2016"/>
            <w:shd w:fill="FFFFFF"/>
            <w:tcMar>
              <w:top w:w="80" w:type="dxa"/>
              <w:bottom w:w="80" w:type="dxa"/>
              <w:left w:w="120" w:type="dxa"/>
              <w:right w:w="120" w:type="dxa"/>
            </w:tcMar>
          </w:tcPr>
          <w:p>
            <w:pPr>
              <w:jc w:val="left"/>
            </w:pPr>
            <w:r>
              <w:rPr>
                <w:rFonts w:ascii="Calibri" w:hAnsi="Calibri"/>
                <w:color w:val="282828"/>
                <w:sz w:val="18"/>
              </w:rPr>
              <w:t>IsHoliday</w:t>
            </w:r>
          </w:p>
        </w:tc>
        <w:tc>
          <w:tcPr>
            <w:tcW w:type="dxa" w:w="2592"/>
            <w:shd w:fill="FFFFFF"/>
            <w:tcMar>
              <w:top w:w="80" w:type="dxa"/>
              <w:bottom w:w="80" w:type="dxa"/>
              <w:left w:w="120" w:type="dxa"/>
              <w:right w:w="120" w:type="dxa"/>
            </w:tcMar>
          </w:tcPr>
          <w:p>
            <w:pPr>
              <w:jc w:val="left"/>
            </w:pPr>
            <w:r>
              <w:rPr>
                <w:rFonts w:ascii="Calibri" w:hAnsi="Calibri"/>
                <w:color w:val="282828"/>
                <w:sz w:val="18"/>
              </w:rPr>
              <w:t>Converted to boolean / int</w:t>
            </w:r>
          </w:p>
        </w:tc>
        <w:tc>
          <w:tcPr>
            <w:tcW w:type="dxa" w:w="1872"/>
            <w:shd w:fill="FFFFFF"/>
            <w:tcMar>
              <w:top w:w="80" w:type="dxa"/>
              <w:bottom w:w="80" w:type="dxa"/>
              <w:left w:w="120" w:type="dxa"/>
              <w:right w:w="120" w:type="dxa"/>
            </w:tcMar>
          </w:tcPr>
          <w:p>
            <w:pPr>
              <w:jc w:val="left"/>
            </w:pPr>
            <w:r>
              <w:rPr>
                <w:rFonts w:ascii="Calibri" w:hAnsi="Calibri"/>
                <w:color w:val="282828"/>
                <w:sz w:val="18"/>
              </w:rPr>
              <w:t>Binary (0/1)</w:t>
            </w:r>
          </w:p>
        </w:tc>
        <w:tc>
          <w:tcPr>
            <w:tcW w:type="dxa" w:w="3312"/>
            <w:shd w:fill="FFFFFF"/>
            <w:tcMar>
              <w:top w:w="80" w:type="dxa"/>
              <w:bottom w:w="80" w:type="dxa"/>
              <w:left w:w="120" w:type="dxa"/>
              <w:right w:w="120" w:type="dxa"/>
            </w:tcMar>
          </w:tcPr>
          <w:p>
            <w:pPr>
              <w:jc w:val="left"/>
            </w:pPr>
            <w:r>
              <w:rPr>
                <w:rFonts w:ascii="Calibri" w:hAnsi="Calibri"/>
                <w:color w:val="282828"/>
                <w:sz w:val="18"/>
              </w:rPr>
              <w:t>Captures holiday demand multiplier across chain</w:t>
            </w:r>
          </w:p>
        </w:tc>
      </w:tr>
      <w:tr>
        <w:tc>
          <w:tcPr>
            <w:tcW w:type="dxa" w:w="2016"/>
            <w:shd w:fill="F9FAFC"/>
            <w:tcMar>
              <w:top w:w="80" w:type="dxa"/>
              <w:bottom w:w="80" w:type="dxa"/>
              <w:left w:w="120" w:type="dxa"/>
              <w:right w:w="120" w:type="dxa"/>
            </w:tcMar>
          </w:tcPr>
          <w:p>
            <w:pPr>
              <w:jc w:val="left"/>
            </w:pPr>
            <w:r>
              <w:rPr>
                <w:rFonts w:ascii="Calibri" w:hAnsi="Calibri"/>
                <w:color w:val="282828"/>
                <w:sz w:val="18"/>
              </w:rPr>
              <w:t>Temperature</w:t>
            </w:r>
          </w:p>
        </w:tc>
        <w:tc>
          <w:tcPr>
            <w:tcW w:type="dxa" w:w="2592"/>
            <w:shd w:fill="F9FAFC"/>
            <w:tcMar>
              <w:top w:w="80" w:type="dxa"/>
              <w:bottom w:w="80" w:type="dxa"/>
              <w:left w:w="120" w:type="dxa"/>
              <w:right w:w="120" w:type="dxa"/>
            </w:tcMar>
          </w:tcPr>
          <w:p>
            <w:pPr>
              <w:jc w:val="left"/>
            </w:pPr>
            <w:r>
              <w:rPr>
                <w:rFonts w:ascii="Calibri" w:hAnsi="Calibri"/>
                <w:color w:val="282828"/>
                <w:sz w:val="18"/>
              </w:rPr>
              <w:t>Direct from features.csv</w:t>
            </w:r>
          </w:p>
        </w:tc>
        <w:tc>
          <w:tcPr>
            <w:tcW w:type="dxa" w:w="1872"/>
            <w:shd w:fill="F9FAFC"/>
            <w:tcMar>
              <w:top w:w="80" w:type="dxa"/>
              <w:bottom w:w="80" w:type="dxa"/>
              <w:left w:w="120" w:type="dxa"/>
              <w:right w:w="120" w:type="dxa"/>
            </w:tcMar>
          </w:tcPr>
          <w:p>
            <w:pPr>
              <w:jc w:val="left"/>
            </w:pPr>
            <w:r>
              <w:rPr>
                <w:rFonts w:ascii="Calibri" w:hAnsi="Calibri"/>
                <w:color w:val="282828"/>
                <w:sz w:val="18"/>
              </w:rPr>
              <w:t>Float (°F)</w:t>
            </w:r>
          </w:p>
        </w:tc>
        <w:tc>
          <w:tcPr>
            <w:tcW w:type="dxa" w:w="3312"/>
            <w:shd w:fill="F9FAFC"/>
            <w:tcMar>
              <w:top w:w="80" w:type="dxa"/>
              <w:bottom w:w="80" w:type="dxa"/>
              <w:left w:w="120" w:type="dxa"/>
              <w:right w:w="120" w:type="dxa"/>
            </w:tcMar>
          </w:tcPr>
          <w:p>
            <w:pPr>
              <w:jc w:val="left"/>
            </w:pPr>
            <w:r>
              <w:rPr>
                <w:rFonts w:ascii="Calibri" w:hAnsi="Calibri"/>
                <w:color w:val="282828"/>
                <w:sz w:val="18"/>
              </w:rPr>
              <w:t>Captures seasonal weather effects on foot traffic</w:t>
            </w:r>
          </w:p>
        </w:tc>
      </w:tr>
      <w:tr>
        <w:tc>
          <w:tcPr>
            <w:tcW w:type="dxa" w:w="2016"/>
            <w:shd w:fill="FFFFFF"/>
            <w:tcMar>
              <w:top w:w="80" w:type="dxa"/>
              <w:bottom w:w="80" w:type="dxa"/>
              <w:left w:w="120" w:type="dxa"/>
              <w:right w:w="120" w:type="dxa"/>
            </w:tcMar>
          </w:tcPr>
          <w:p>
            <w:pPr>
              <w:jc w:val="left"/>
            </w:pPr>
            <w:r>
              <w:rPr>
                <w:rFonts w:ascii="Calibri" w:hAnsi="Calibri"/>
                <w:color w:val="282828"/>
                <w:sz w:val="18"/>
              </w:rPr>
              <w:t>Fuel_Price</w:t>
            </w:r>
          </w:p>
        </w:tc>
        <w:tc>
          <w:tcPr>
            <w:tcW w:type="dxa" w:w="2592"/>
            <w:shd w:fill="FFFFFF"/>
            <w:tcMar>
              <w:top w:w="80" w:type="dxa"/>
              <w:bottom w:w="80" w:type="dxa"/>
              <w:left w:w="120" w:type="dxa"/>
              <w:right w:w="120" w:type="dxa"/>
            </w:tcMar>
          </w:tcPr>
          <w:p>
            <w:pPr>
              <w:jc w:val="left"/>
            </w:pPr>
            <w:r>
              <w:rPr>
                <w:rFonts w:ascii="Calibri" w:hAnsi="Calibri"/>
                <w:color w:val="282828"/>
                <w:sz w:val="18"/>
              </w:rPr>
              <w:t>Direct from features.csv</w:t>
            </w:r>
          </w:p>
        </w:tc>
        <w:tc>
          <w:tcPr>
            <w:tcW w:type="dxa" w:w="1872"/>
            <w:shd w:fill="FFFFFF"/>
            <w:tcMar>
              <w:top w:w="80" w:type="dxa"/>
              <w:bottom w:w="80" w:type="dxa"/>
              <w:left w:w="120" w:type="dxa"/>
              <w:right w:w="120" w:type="dxa"/>
            </w:tcMar>
          </w:tcPr>
          <w:p>
            <w:pPr>
              <w:jc w:val="left"/>
            </w:pPr>
            <w:r>
              <w:rPr>
                <w:rFonts w:ascii="Calibri" w:hAnsi="Calibri"/>
                <w:color w:val="282828"/>
                <w:sz w:val="18"/>
              </w:rPr>
              <w:t>Float ($)</w:t>
            </w:r>
          </w:p>
        </w:tc>
        <w:tc>
          <w:tcPr>
            <w:tcW w:type="dxa" w:w="3312"/>
            <w:shd w:fill="FFFFFF"/>
            <w:tcMar>
              <w:top w:w="80" w:type="dxa"/>
              <w:bottom w:w="80" w:type="dxa"/>
              <w:left w:w="120" w:type="dxa"/>
              <w:right w:w="120" w:type="dxa"/>
            </w:tcMar>
          </w:tcPr>
          <w:p>
            <w:pPr>
              <w:jc w:val="left"/>
            </w:pPr>
            <w:r>
              <w:rPr>
                <w:rFonts w:ascii="Calibri" w:hAnsi="Calibri"/>
                <w:color w:val="282828"/>
                <w:sz w:val="18"/>
              </w:rPr>
              <w:t>Indicator of consumer disposable income and travel cost</w:t>
            </w:r>
          </w:p>
        </w:tc>
      </w:tr>
      <w:tr>
        <w:tc>
          <w:tcPr>
            <w:tcW w:type="dxa" w:w="2016"/>
            <w:shd w:fill="F9FAFC"/>
            <w:tcMar>
              <w:top w:w="80" w:type="dxa"/>
              <w:bottom w:w="80" w:type="dxa"/>
              <w:left w:w="120" w:type="dxa"/>
              <w:right w:w="120" w:type="dxa"/>
            </w:tcMar>
          </w:tcPr>
          <w:p>
            <w:pPr>
              <w:jc w:val="left"/>
            </w:pPr>
            <w:r>
              <w:rPr>
                <w:rFonts w:ascii="Calibri" w:hAnsi="Calibri"/>
                <w:color w:val="282828"/>
                <w:sz w:val="18"/>
              </w:rPr>
              <w:t>MarkDown1 - 5</w:t>
            </w:r>
          </w:p>
        </w:tc>
        <w:tc>
          <w:tcPr>
            <w:tcW w:type="dxa" w:w="2592"/>
            <w:shd w:fill="F9FAFC"/>
            <w:tcMar>
              <w:top w:w="80" w:type="dxa"/>
              <w:bottom w:w="80" w:type="dxa"/>
              <w:left w:w="120" w:type="dxa"/>
              <w:right w:w="120" w:type="dxa"/>
            </w:tcMar>
          </w:tcPr>
          <w:p>
            <w:pPr>
              <w:jc w:val="left"/>
            </w:pPr>
            <w:r>
              <w:rPr>
                <w:rFonts w:ascii="Calibri" w:hAnsi="Calibri"/>
                <w:color w:val="282828"/>
                <w:sz w:val="18"/>
              </w:rPr>
              <w:t>Imputed with 0.0 for NaNs</w:t>
            </w:r>
          </w:p>
        </w:tc>
        <w:tc>
          <w:tcPr>
            <w:tcW w:type="dxa" w:w="1872"/>
            <w:shd w:fill="F9FAFC"/>
            <w:tcMar>
              <w:top w:w="80" w:type="dxa"/>
              <w:bottom w:w="80" w:type="dxa"/>
              <w:left w:w="120" w:type="dxa"/>
              <w:right w:w="120" w:type="dxa"/>
            </w:tcMar>
          </w:tcPr>
          <w:p>
            <w:pPr>
              <w:jc w:val="left"/>
            </w:pPr>
            <w:r>
              <w:rPr>
                <w:rFonts w:ascii="Calibri" w:hAnsi="Calibri"/>
                <w:color w:val="282828"/>
                <w:sz w:val="18"/>
              </w:rPr>
              <w:t>Float ($)</w:t>
            </w:r>
          </w:p>
        </w:tc>
        <w:tc>
          <w:tcPr>
            <w:tcW w:type="dxa" w:w="3312"/>
            <w:shd w:fill="F9FAFC"/>
            <w:tcMar>
              <w:top w:w="80" w:type="dxa"/>
              <w:bottom w:w="80" w:type="dxa"/>
              <w:left w:w="120" w:type="dxa"/>
              <w:right w:w="120" w:type="dxa"/>
            </w:tcMar>
          </w:tcPr>
          <w:p>
            <w:pPr>
              <w:jc w:val="left"/>
            </w:pPr>
            <w:r>
              <w:rPr>
                <w:rFonts w:ascii="Calibri" w:hAnsi="Calibri"/>
                <w:color w:val="282828"/>
                <w:sz w:val="18"/>
              </w:rPr>
              <w:t>Individual anonymized promotional discount intensities</w:t>
            </w:r>
          </w:p>
        </w:tc>
      </w:tr>
      <w:tr>
        <w:tc>
          <w:tcPr>
            <w:tcW w:type="dxa" w:w="2016"/>
            <w:shd w:fill="FFFFFF"/>
            <w:tcMar>
              <w:top w:w="80" w:type="dxa"/>
              <w:bottom w:w="80" w:type="dxa"/>
              <w:left w:w="120" w:type="dxa"/>
              <w:right w:w="120" w:type="dxa"/>
            </w:tcMar>
          </w:tcPr>
          <w:p>
            <w:pPr>
              <w:jc w:val="left"/>
            </w:pPr>
            <w:r>
              <w:rPr>
                <w:rFonts w:ascii="Calibri" w:hAnsi="Calibri"/>
                <w:color w:val="282828"/>
                <w:sz w:val="18"/>
              </w:rPr>
              <w:t>CPI</w:t>
            </w:r>
          </w:p>
        </w:tc>
        <w:tc>
          <w:tcPr>
            <w:tcW w:type="dxa" w:w="2592"/>
            <w:shd w:fill="FFFFFF"/>
            <w:tcMar>
              <w:top w:w="80" w:type="dxa"/>
              <w:bottom w:w="80" w:type="dxa"/>
              <w:left w:w="120" w:type="dxa"/>
              <w:right w:w="120" w:type="dxa"/>
            </w:tcMar>
          </w:tcPr>
          <w:p>
            <w:pPr>
              <w:jc w:val="left"/>
            </w:pPr>
            <w:r>
              <w:rPr>
                <w:rFonts w:ascii="Calibri" w:hAnsi="Calibri"/>
                <w:color w:val="282828"/>
                <w:sz w:val="18"/>
              </w:rPr>
              <w:t>Median imputed for test NaNs</w:t>
            </w:r>
          </w:p>
        </w:tc>
        <w:tc>
          <w:tcPr>
            <w:tcW w:type="dxa" w:w="1872"/>
            <w:shd w:fill="FFFFFF"/>
            <w:tcMar>
              <w:top w:w="80" w:type="dxa"/>
              <w:bottom w:w="80" w:type="dxa"/>
              <w:left w:w="120" w:type="dxa"/>
              <w:right w:w="120" w:type="dxa"/>
            </w:tcMar>
          </w:tcPr>
          <w:p>
            <w:pPr>
              <w:jc w:val="left"/>
            </w:pPr>
            <w:r>
              <w:rPr>
                <w:rFonts w:ascii="Calibri" w:hAnsi="Calibri"/>
                <w:color w:val="282828"/>
                <w:sz w:val="18"/>
              </w:rPr>
              <w:t>Float</w:t>
            </w:r>
          </w:p>
        </w:tc>
        <w:tc>
          <w:tcPr>
            <w:tcW w:type="dxa" w:w="3312"/>
            <w:shd w:fill="FFFFFF"/>
            <w:tcMar>
              <w:top w:w="80" w:type="dxa"/>
              <w:bottom w:w="80" w:type="dxa"/>
              <w:left w:w="120" w:type="dxa"/>
              <w:right w:w="120" w:type="dxa"/>
            </w:tcMar>
          </w:tcPr>
          <w:p>
            <w:pPr>
              <w:jc w:val="left"/>
            </w:pPr>
            <w:r>
              <w:rPr>
                <w:rFonts w:ascii="Calibri" w:hAnsi="Calibri"/>
                <w:color w:val="282828"/>
                <w:sz w:val="18"/>
              </w:rPr>
              <w:t>Macroeconomic inflation metric</w:t>
            </w:r>
          </w:p>
        </w:tc>
      </w:tr>
      <w:tr>
        <w:tc>
          <w:tcPr>
            <w:tcW w:type="dxa" w:w="2016"/>
            <w:shd w:fill="F9FAFC"/>
            <w:tcMar>
              <w:top w:w="80" w:type="dxa"/>
              <w:bottom w:w="80" w:type="dxa"/>
              <w:left w:w="120" w:type="dxa"/>
              <w:right w:w="120" w:type="dxa"/>
            </w:tcMar>
          </w:tcPr>
          <w:p>
            <w:pPr>
              <w:jc w:val="left"/>
            </w:pPr>
            <w:r>
              <w:rPr>
                <w:rFonts w:ascii="Calibri" w:hAnsi="Calibri"/>
                <w:color w:val="282828"/>
                <w:sz w:val="18"/>
              </w:rPr>
              <w:t>Unemployment</w:t>
            </w:r>
          </w:p>
        </w:tc>
        <w:tc>
          <w:tcPr>
            <w:tcW w:type="dxa" w:w="2592"/>
            <w:shd w:fill="F9FAFC"/>
            <w:tcMar>
              <w:top w:w="80" w:type="dxa"/>
              <w:bottom w:w="80" w:type="dxa"/>
              <w:left w:w="120" w:type="dxa"/>
              <w:right w:w="120" w:type="dxa"/>
            </w:tcMar>
          </w:tcPr>
          <w:p>
            <w:pPr>
              <w:jc w:val="left"/>
            </w:pPr>
            <w:r>
              <w:rPr>
                <w:rFonts w:ascii="Calibri" w:hAnsi="Calibri"/>
                <w:color w:val="282828"/>
                <w:sz w:val="18"/>
              </w:rPr>
              <w:t>Median imputed for test NaNs</w:t>
            </w:r>
          </w:p>
        </w:tc>
        <w:tc>
          <w:tcPr>
            <w:tcW w:type="dxa" w:w="1872"/>
            <w:shd w:fill="F9FAFC"/>
            <w:tcMar>
              <w:top w:w="80" w:type="dxa"/>
              <w:bottom w:w="80" w:type="dxa"/>
              <w:left w:w="120" w:type="dxa"/>
              <w:right w:w="120" w:type="dxa"/>
            </w:tcMar>
          </w:tcPr>
          <w:p>
            <w:pPr>
              <w:jc w:val="left"/>
            </w:pPr>
            <w:r>
              <w:rPr>
                <w:rFonts w:ascii="Calibri" w:hAnsi="Calibri"/>
                <w:color w:val="282828"/>
                <w:sz w:val="18"/>
              </w:rPr>
              <w:t>Float (%)</w:t>
            </w:r>
          </w:p>
        </w:tc>
        <w:tc>
          <w:tcPr>
            <w:tcW w:type="dxa" w:w="3312"/>
            <w:shd w:fill="F9FAFC"/>
            <w:tcMar>
              <w:top w:w="80" w:type="dxa"/>
              <w:bottom w:w="80" w:type="dxa"/>
              <w:left w:w="120" w:type="dxa"/>
              <w:right w:w="120" w:type="dxa"/>
            </w:tcMar>
          </w:tcPr>
          <w:p>
            <w:pPr>
              <w:jc w:val="left"/>
            </w:pPr>
            <w:r>
              <w:rPr>
                <w:rFonts w:ascii="Calibri" w:hAnsi="Calibri"/>
                <w:color w:val="282828"/>
                <w:sz w:val="18"/>
              </w:rPr>
              <w:t>Regional labor market indicator</w:t>
            </w:r>
          </w:p>
        </w:tc>
      </w:tr>
      <w:tr>
        <w:tc>
          <w:tcPr>
            <w:tcW w:type="dxa" w:w="2016"/>
            <w:shd w:fill="FFFFFF"/>
            <w:tcMar>
              <w:top w:w="80" w:type="dxa"/>
              <w:bottom w:w="80" w:type="dxa"/>
              <w:left w:w="120" w:type="dxa"/>
              <w:right w:w="120" w:type="dxa"/>
            </w:tcMar>
          </w:tcPr>
          <w:p>
            <w:pPr>
              <w:jc w:val="left"/>
            </w:pPr>
            <w:r>
              <w:rPr>
                <w:rFonts w:ascii="Calibri" w:hAnsi="Calibri"/>
                <w:color w:val="282828"/>
                <w:sz w:val="18"/>
              </w:rPr>
              <w:t>Size</w:t>
            </w:r>
          </w:p>
        </w:tc>
        <w:tc>
          <w:tcPr>
            <w:tcW w:type="dxa" w:w="2592"/>
            <w:shd w:fill="FFFFFF"/>
            <w:tcMar>
              <w:top w:w="80" w:type="dxa"/>
              <w:bottom w:w="80" w:type="dxa"/>
              <w:left w:w="120" w:type="dxa"/>
              <w:right w:w="120" w:type="dxa"/>
            </w:tcMar>
          </w:tcPr>
          <w:p>
            <w:pPr>
              <w:jc w:val="left"/>
            </w:pPr>
            <w:r>
              <w:rPr>
                <w:rFonts w:ascii="Calibri" w:hAnsi="Calibri"/>
                <w:color w:val="282828"/>
                <w:sz w:val="18"/>
              </w:rPr>
              <w:t>Direct from stores.csv</w:t>
            </w:r>
          </w:p>
        </w:tc>
        <w:tc>
          <w:tcPr>
            <w:tcW w:type="dxa" w:w="1872"/>
            <w:shd w:fill="FFFFFF"/>
            <w:tcMar>
              <w:top w:w="80" w:type="dxa"/>
              <w:bottom w:w="80" w:type="dxa"/>
              <w:left w:w="120" w:type="dxa"/>
              <w:right w:w="120" w:type="dxa"/>
            </w:tcMar>
          </w:tcPr>
          <w:p>
            <w:pPr>
              <w:jc w:val="left"/>
            </w:pPr>
            <w:r>
              <w:rPr>
                <w:rFonts w:ascii="Calibri" w:hAnsi="Calibri"/>
                <w:color w:val="282828"/>
                <w:sz w:val="18"/>
              </w:rPr>
              <w:t>Integer (sq ft)</w:t>
            </w:r>
          </w:p>
        </w:tc>
        <w:tc>
          <w:tcPr>
            <w:tcW w:type="dxa" w:w="3312"/>
            <w:shd w:fill="FFFFFF"/>
            <w:tcMar>
              <w:top w:w="80" w:type="dxa"/>
              <w:bottom w:w="80" w:type="dxa"/>
              <w:left w:w="120" w:type="dxa"/>
              <w:right w:w="120" w:type="dxa"/>
            </w:tcMar>
          </w:tcPr>
          <w:p>
            <w:pPr>
              <w:jc w:val="left"/>
            </w:pPr>
            <w:r>
              <w:rPr>
                <w:rFonts w:ascii="Calibri" w:hAnsi="Calibri"/>
                <w:color w:val="282828"/>
                <w:sz w:val="18"/>
              </w:rPr>
              <w:t>Physical retail capacity and inventory breadth</w:t>
            </w:r>
          </w:p>
        </w:tc>
      </w:tr>
      <w:tr>
        <w:tc>
          <w:tcPr>
            <w:tcW w:type="dxa" w:w="2016"/>
            <w:shd w:fill="F9FAFC"/>
            <w:tcMar>
              <w:top w:w="80" w:type="dxa"/>
              <w:bottom w:w="80" w:type="dxa"/>
              <w:left w:w="120" w:type="dxa"/>
              <w:right w:w="120" w:type="dxa"/>
            </w:tcMar>
          </w:tcPr>
          <w:p>
            <w:pPr>
              <w:jc w:val="left"/>
            </w:pPr>
            <w:r>
              <w:rPr>
                <w:rFonts w:ascii="Calibri" w:hAnsi="Calibri"/>
                <w:color w:val="282828"/>
                <w:sz w:val="18"/>
              </w:rPr>
              <w:t>Type_encoded</w:t>
            </w:r>
          </w:p>
        </w:tc>
        <w:tc>
          <w:tcPr>
            <w:tcW w:type="dxa" w:w="2592"/>
            <w:shd w:fill="F9FAFC"/>
            <w:tcMar>
              <w:top w:w="80" w:type="dxa"/>
              <w:bottom w:w="80" w:type="dxa"/>
              <w:left w:w="120" w:type="dxa"/>
              <w:right w:w="120" w:type="dxa"/>
            </w:tcMar>
          </w:tcPr>
          <w:p>
            <w:pPr>
              <w:jc w:val="left"/>
            </w:pPr>
            <w:r>
              <w:rPr>
                <w:rFonts w:ascii="Calibri" w:hAnsi="Calibri"/>
                <w:color w:val="282828"/>
                <w:sz w:val="18"/>
              </w:rPr>
              <w:t>Label encoded: A=0, B=1, C=2</w:t>
            </w:r>
          </w:p>
        </w:tc>
        <w:tc>
          <w:tcPr>
            <w:tcW w:type="dxa" w:w="1872"/>
            <w:shd w:fill="F9FAFC"/>
            <w:tcMar>
              <w:top w:w="80" w:type="dxa"/>
              <w:bottom w:w="80" w:type="dxa"/>
              <w:left w:w="120" w:type="dxa"/>
              <w:right w:w="120" w:type="dxa"/>
            </w:tcMar>
          </w:tcPr>
          <w:p>
            <w:pPr>
              <w:jc w:val="left"/>
            </w:pPr>
            <w:r>
              <w:rPr>
                <w:rFonts w:ascii="Calibri" w:hAnsi="Calibri"/>
                <w:color w:val="282828"/>
                <w:sz w:val="18"/>
              </w:rPr>
              <w:t>Categorical (Int)</w:t>
            </w:r>
          </w:p>
        </w:tc>
        <w:tc>
          <w:tcPr>
            <w:tcW w:type="dxa" w:w="3312"/>
            <w:shd w:fill="F9FAFC"/>
            <w:tcMar>
              <w:top w:w="80" w:type="dxa"/>
              <w:bottom w:w="80" w:type="dxa"/>
              <w:left w:w="120" w:type="dxa"/>
              <w:right w:w="120" w:type="dxa"/>
            </w:tcMar>
          </w:tcPr>
          <w:p>
            <w:pPr>
              <w:jc w:val="left"/>
            </w:pPr>
            <w:r>
              <w:rPr>
                <w:rFonts w:ascii="Calibri" w:hAnsi="Calibri"/>
                <w:color w:val="282828"/>
                <w:sz w:val="18"/>
              </w:rPr>
              <w:t>Store classification format hierarchy</w:t>
            </w:r>
          </w:p>
        </w:tc>
      </w:tr>
      <w:tr>
        <w:tc>
          <w:tcPr>
            <w:tcW w:type="dxa" w:w="2016"/>
            <w:shd w:fill="FFFFFF"/>
            <w:tcMar>
              <w:top w:w="80" w:type="dxa"/>
              <w:bottom w:w="80" w:type="dxa"/>
              <w:left w:w="120" w:type="dxa"/>
              <w:right w:w="120" w:type="dxa"/>
            </w:tcMar>
          </w:tcPr>
          <w:p>
            <w:pPr>
              <w:jc w:val="left"/>
            </w:pPr>
            <w:r>
              <w:rPr>
                <w:rFonts w:ascii="Calibri" w:hAnsi="Calibri"/>
                <w:color w:val="282828"/>
                <w:sz w:val="18"/>
              </w:rPr>
              <w:t>Year</w:t>
            </w:r>
          </w:p>
        </w:tc>
        <w:tc>
          <w:tcPr>
            <w:tcW w:type="dxa" w:w="2592"/>
            <w:shd w:fill="FFFFFF"/>
            <w:tcMar>
              <w:top w:w="80" w:type="dxa"/>
              <w:bottom w:w="80" w:type="dxa"/>
              <w:left w:w="120" w:type="dxa"/>
              <w:right w:w="120" w:type="dxa"/>
            </w:tcMar>
          </w:tcPr>
          <w:p>
            <w:pPr>
              <w:jc w:val="left"/>
            </w:pPr>
            <w:r>
              <w:rPr>
                <w:rFonts w:ascii="Calibri" w:hAnsi="Calibri"/>
                <w:color w:val="282828"/>
                <w:sz w:val="18"/>
              </w:rPr>
              <w:t>Date.dt.year</w:t>
            </w:r>
          </w:p>
        </w:tc>
        <w:tc>
          <w:tcPr>
            <w:tcW w:type="dxa" w:w="1872"/>
            <w:shd w:fill="FFFFFF"/>
            <w:tcMar>
              <w:top w:w="80" w:type="dxa"/>
              <w:bottom w:w="80" w:type="dxa"/>
              <w:left w:w="120" w:type="dxa"/>
              <w:right w:w="120" w:type="dxa"/>
            </w:tcMar>
          </w:tcPr>
          <w:p>
            <w:pPr>
              <w:jc w:val="left"/>
            </w:pPr>
            <w:r>
              <w:rPr>
                <w:rFonts w:ascii="Calibri" w:hAnsi="Calibri"/>
                <w:color w:val="282828"/>
                <w:sz w:val="18"/>
              </w:rPr>
              <w:t>Integer</w:t>
            </w:r>
          </w:p>
        </w:tc>
        <w:tc>
          <w:tcPr>
            <w:tcW w:type="dxa" w:w="3312"/>
            <w:shd w:fill="FFFFFF"/>
            <w:tcMar>
              <w:top w:w="80" w:type="dxa"/>
              <w:bottom w:w="80" w:type="dxa"/>
              <w:left w:w="120" w:type="dxa"/>
              <w:right w:w="120" w:type="dxa"/>
            </w:tcMar>
          </w:tcPr>
          <w:p>
            <w:pPr>
              <w:jc w:val="left"/>
            </w:pPr>
            <w:r>
              <w:rPr>
                <w:rFonts w:ascii="Calibri" w:hAnsi="Calibri"/>
                <w:color w:val="282828"/>
                <w:sz w:val="18"/>
              </w:rPr>
              <w:t>Long-term trend and macroeconomic baseline shift</w:t>
            </w:r>
          </w:p>
        </w:tc>
      </w:tr>
      <w:tr>
        <w:tc>
          <w:tcPr>
            <w:tcW w:type="dxa" w:w="2016"/>
            <w:shd w:fill="F9FAFC"/>
            <w:tcMar>
              <w:top w:w="80" w:type="dxa"/>
              <w:bottom w:w="80" w:type="dxa"/>
              <w:left w:w="120" w:type="dxa"/>
              <w:right w:w="120" w:type="dxa"/>
            </w:tcMar>
          </w:tcPr>
          <w:p>
            <w:pPr>
              <w:jc w:val="left"/>
            </w:pPr>
            <w:r>
              <w:rPr>
                <w:rFonts w:ascii="Calibri" w:hAnsi="Calibri"/>
                <w:color w:val="282828"/>
                <w:sz w:val="18"/>
              </w:rPr>
              <w:t>Month</w:t>
            </w:r>
          </w:p>
        </w:tc>
        <w:tc>
          <w:tcPr>
            <w:tcW w:type="dxa" w:w="2592"/>
            <w:shd w:fill="F9FAFC"/>
            <w:tcMar>
              <w:top w:w="80" w:type="dxa"/>
              <w:bottom w:w="80" w:type="dxa"/>
              <w:left w:w="120" w:type="dxa"/>
              <w:right w:w="120" w:type="dxa"/>
            </w:tcMar>
          </w:tcPr>
          <w:p>
            <w:pPr>
              <w:jc w:val="left"/>
            </w:pPr>
            <w:r>
              <w:rPr>
                <w:rFonts w:ascii="Calibri" w:hAnsi="Calibri"/>
                <w:color w:val="282828"/>
                <w:sz w:val="18"/>
              </w:rPr>
              <w:t>Date.dt.month (1 to 12)</w:t>
            </w:r>
          </w:p>
        </w:tc>
        <w:tc>
          <w:tcPr>
            <w:tcW w:type="dxa" w:w="1872"/>
            <w:shd w:fill="F9FAFC"/>
            <w:tcMar>
              <w:top w:w="80" w:type="dxa"/>
              <w:bottom w:w="80" w:type="dxa"/>
              <w:left w:w="120" w:type="dxa"/>
              <w:right w:w="120" w:type="dxa"/>
            </w:tcMar>
          </w:tcPr>
          <w:p>
            <w:pPr>
              <w:jc w:val="left"/>
            </w:pPr>
            <w:r>
              <w:rPr>
                <w:rFonts w:ascii="Calibri" w:hAnsi="Calibri"/>
                <w:color w:val="282828"/>
                <w:sz w:val="18"/>
              </w:rPr>
              <w:t>Integer</w:t>
            </w:r>
          </w:p>
        </w:tc>
        <w:tc>
          <w:tcPr>
            <w:tcW w:type="dxa" w:w="3312"/>
            <w:shd w:fill="F9FAFC"/>
            <w:tcMar>
              <w:top w:w="80" w:type="dxa"/>
              <w:bottom w:w="80" w:type="dxa"/>
              <w:left w:w="120" w:type="dxa"/>
              <w:right w:w="120" w:type="dxa"/>
            </w:tcMar>
          </w:tcPr>
          <w:p>
            <w:pPr>
              <w:jc w:val="left"/>
            </w:pPr>
            <w:r>
              <w:rPr>
                <w:rFonts w:ascii="Calibri" w:hAnsi="Calibri"/>
                <w:color w:val="282828"/>
                <w:sz w:val="18"/>
              </w:rPr>
              <w:t>Annual seasonality and quarterly retail cycle</w:t>
            </w:r>
          </w:p>
        </w:tc>
      </w:tr>
      <w:tr>
        <w:tc>
          <w:tcPr>
            <w:tcW w:type="dxa" w:w="2016"/>
            <w:shd w:fill="FFFFFF"/>
            <w:tcMar>
              <w:top w:w="80" w:type="dxa"/>
              <w:bottom w:w="80" w:type="dxa"/>
              <w:left w:w="120" w:type="dxa"/>
              <w:right w:w="120" w:type="dxa"/>
            </w:tcMar>
          </w:tcPr>
          <w:p>
            <w:pPr>
              <w:jc w:val="left"/>
            </w:pPr>
            <w:r>
              <w:rPr>
                <w:rFonts w:ascii="Calibri" w:hAnsi="Calibri"/>
                <w:color w:val="282828"/>
                <w:sz w:val="18"/>
              </w:rPr>
              <w:t>WeekOfYear</w:t>
            </w:r>
          </w:p>
        </w:tc>
        <w:tc>
          <w:tcPr>
            <w:tcW w:type="dxa" w:w="2592"/>
            <w:shd w:fill="FFFFFF"/>
            <w:tcMar>
              <w:top w:w="80" w:type="dxa"/>
              <w:bottom w:w="80" w:type="dxa"/>
              <w:left w:w="120" w:type="dxa"/>
              <w:right w:w="120" w:type="dxa"/>
            </w:tcMar>
          </w:tcPr>
          <w:p>
            <w:pPr>
              <w:jc w:val="left"/>
            </w:pPr>
            <w:r>
              <w:rPr>
                <w:rFonts w:ascii="Calibri" w:hAnsi="Calibri"/>
                <w:color w:val="282828"/>
                <w:sz w:val="18"/>
              </w:rPr>
              <w:t>Date.dt.isocalendar().week</w:t>
            </w:r>
          </w:p>
        </w:tc>
        <w:tc>
          <w:tcPr>
            <w:tcW w:type="dxa" w:w="1872"/>
            <w:shd w:fill="FFFFFF"/>
            <w:tcMar>
              <w:top w:w="80" w:type="dxa"/>
              <w:bottom w:w="80" w:type="dxa"/>
              <w:left w:w="120" w:type="dxa"/>
              <w:right w:w="120" w:type="dxa"/>
            </w:tcMar>
          </w:tcPr>
          <w:p>
            <w:pPr>
              <w:jc w:val="left"/>
            </w:pPr>
            <w:r>
              <w:rPr>
                <w:rFonts w:ascii="Calibri" w:hAnsi="Calibri"/>
                <w:color w:val="282828"/>
                <w:sz w:val="18"/>
              </w:rPr>
              <w:t>Integer (1 to 52)</w:t>
            </w:r>
          </w:p>
        </w:tc>
        <w:tc>
          <w:tcPr>
            <w:tcW w:type="dxa" w:w="3312"/>
            <w:shd w:fill="FFFFFF"/>
            <w:tcMar>
              <w:top w:w="80" w:type="dxa"/>
              <w:bottom w:w="80" w:type="dxa"/>
              <w:left w:w="120" w:type="dxa"/>
              <w:right w:w="120" w:type="dxa"/>
            </w:tcMar>
          </w:tcPr>
          <w:p>
            <w:pPr>
              <w:jc w:val="left"/>
            </w:pPr>
            <w:r>
              <w:rPr>
                <w:rFonts w:ascii="Calibri" w:hAnsi="Calibri"/>
                <w:color w:val="282828"/>
                <w:sz w:val="18"/>
              </w:rPr>
              <w:t>Granular weekly calendar position (holiday alignment)</w:t>
            </w:r>
          </w:p>
        </w:tc>
      </w:tr>
      <w:tr>
        <w:tc>
          <w:tcPr>
            <w:tcW w:type="dxa" w:w="2016"/>
            <w:shd w:fill="F9FAFC"/>
            <w:tcMar>
              <w:top w:w="80" w:type="dxa"/>
              <w:bottom w:w="80" w:type="dxa"/>
              <w:left w:w="120" w:type="dxa"/>
              <w:right w:w="120" w:type="dxa"/>
            </w:tcMar>
          </w:tcPr>
          <w:p>
            <w:pPr>
              <w:jc w:val="left"/>
            </w:pPr>
            <w:r>
              <w:rPr>
                <w:rFonts w:ascii="Calibri" w:hAnsi="Calibri"/>
                <w:color w:val="282828"/>
                <w:sz w:val="18"/>
              </w:rPr>
              <w:t>DayOfWeek</w:t>
            </w:r>
          </w:p>
        </w:tc>
        <w:tc>
          <w:tcPr>
            <w:tcW w:type="dxa" w:w="2592"/>
            <w:shd w:fill="F9FAFC"/>
            <w:tcMar>
              <w:top w:w="80" w:type="dxa"/>
              <w:bottom w:w="80" w:type="dxa"/>
              <w:left w:w="120" w:type="dxa"/>
              <w:right w:w="120" w:type="dxa"/>
            </w:tcMar>
          </w:tcPr>
          <w:p>
            <w:pPr>
              <w:jc w:val="left"/>
            </w:pPr>
            <w:r>
              <w:rPr>
                <w:rFonts w:ascii="Calibri" w:hAnsi="Calibri"/>
                <w:color w:val="282828"/>
                <w:sz w:val="18"/>
              </w:rPr>
              <w:t>Date.dt.dayofweek</w:t>
            </w:r>
          </w:p>
        </w:tc>
        <w:tc>
          <w:tcPr>
            <w:tcW w:type="dxa" w:w="1872"/>
            <w:shd w:fill="F9FAFC"/>
            <w:tcMar>
              <w:top w:w="80" w:type="dxa"/>
              <w:bottom w:w="80" w:type="dxa"/>
              <w:left w:w="120" w:type="dxa"/>
              <w:right w:w="120" w:type="dxa"/>
            </w:tcMar>
          </w:tcPr>
          <w:p>
            <w:pPr>
              <w:jc w:val="left"/>
            </w:pPr>
            <w:r>
              <w:rPr>
                <w:rFonts w:ascii="Calibri" w:hAnsi="Calibri"/>
                <w:color w:val="282828"/>
                <w:sz w:val="18"/>
              </w:rPr>
              <w:t>Integer (always 4)</w:t>
            </w:r>
          </w:p>
        </w:tc>
        <w:tc>
          <w:tcPr>
            <w:tcW w:type="dxa" w:w="3312"/>
            <w:shd w:fill="F9FAFC"/>
            <w:tcMar>
              <w:top w:w="80" w:type="dxa"/>
              <w:bottom w:w="80" w:type="dxa"/>
              <w:left w:w="120" w:type="dxa"/>
              <w:right w:w="120" w:type="dxa"/>
            </w:tcMar>
          </w:tcPr>
          <w:p>
            <w:pPr>
              <w:jc w:val="left"/>
            </w:pPr>
            <w:r>
              <w:rPr>
                <w:rFonts w:ascii="Calibri" w:hAnsi="Calibri"/>
                <w:color w:val="282828"/>
                <w:sz w:val="18"/>
              </w:rPr>
              <w:t>Day of week (Friday reporting consistency check)</w:t>
            </w:r>
          </w:p>
        </w:tc>
      </w:tr>
      <w:tr>
        <w:tc>
          <w:tcPr>
            <w:tcW w:type="dxa" w:w="2016"/>
            <w:shd w:fill="FFFFFF"/>
            <w:tcMar>
              <w:top w:w="80" w:type="dxa"/>
              <w:bottom w:w="80" w:type="dxa"/>
              <w:left w:w="120" w:type="dxa"/>
              <w:right w:w="120" w:type="dxa"/>
            </w:tcMar>
          </w:tcPr>
          <w:p>
            <w:pPr>
              <w:jc w:val="left"/>
            </w:pPr>
            <w:r>
              <w:rPr>
                <w:rFonts w:ascii="Calibri" w:hAnsi="Calibri"/>
                <w:color w:val="282828"/>
                <w:sz w:val="18"/>
              </w:rPr>
              <w:t>Quarter</w:t>
            </w:r>
          </w:p>
        </w:tc>
        <w:tc>
          <w:tcPr>
            <w:tcW w:type="dxa" w:w="2592"/>
            <w:shd w:fill="FFFFFF"/>
            <w:tcMar>
              <w:top w:w="80" w:type="dxa"/>
              <w:bottom w:w="80" w:type="dxa"/>
              <w:left w:w="120" w:type="dxa"/>
              <w:right w:w="120" w:type="dxa"/>
            </w:tcMar>
          </w:tcPr>
          <w:p>
            <w:pPr>
              <w:jc w:val="left"/>
            </w:pPr>
            <w:r>
              <w:rPr>
                <w:rFonts w:ascii="Calibri" w:hAnsi="Calibri"/>
                <w:color w:val="282828"/>
                <w:sz w:val="18"/>
              </w:rPr>
              <w:t>Date.dt.quarter (1 to 4)</w:t>
            </w:r>
          </w:p>
        </w:tc>
        <w:tc>
          <w:tcPr>
            <w:tcW w:type="dxa" w:w="1872"/>
            <w:shd w:fill="FFFFFF"/>
            <w:tcMar>
              <w:top w:w="80" w:type="dxa"/>
              <w:bottom w:w="80" w:type="dxa"/>
              <w:left w:w="120" w:type="dxa"/>
              <w:right w:w="120" w:type="dxa"/>
            </w:tcMar>
          </w:tcPr>
          <w:p>
            <w:pPr>
              <w:jc w:val="left"/>
            </w:pPr>
            <w:r>
              <w:rPr>
                <w:rFonts w:ascii="Calibri" w:hAnsi="Calibri"/>
                <w:color w:val="282828"/>
                <w:sz w:val="18"/>
              </w:rPr>
              <w:t>Integer</w:t>
            </w:r>
          </w:p>
        </w:tc>
        <w:tc>
          <w:tcPr>
            <w:tcW w:type="dxa" w:w="3312"/>
            <w:shd w:fill="FFFFFF"/>
            <w:tcMar>
              <w:top w:w="80" w:type="dxa"/>
              <w:bottom w:w="80" w:type="dxa"/>
              <w:left w:w="120" w:type="dxa"/>
              <w:right w:w="120" w:type="dxa"/>
            </w:tcMar>
          </w:tcPr>
          <w:p>
            <w:pPr>
              <w:jc w:val="left"/>
            </w:pPr>
            <w:r>
              <w:rPr>
                <w:rFonts w:ascii="Calibri" w:hAnsi="Calibri"/>
                <w:color w:val="282828"/>
                <w:sz w:val="18"/>
              </w:rPr>
              <w:t>Corporate financial quarter indicator</w:t>
            </w:r>
          </w:p>
        </w:tc>
      </w:tr>
      <w:tr>
        <w:tc>
          <w:tcPr>
            <w:tcW w:type="dxa" w:w="2016"/>
            <w:shd w:fill="F9FAFC"/>
            <w:tcMar>
              <w:top w:w="80" w:type="dxa"/>
              <w:bottom w:w="80" w:type="dxa"/>
              <w:left w:w="120" w:type="dxa"/>
              <w:right w:w="120" w:type="dxa"/>
            </w:tcMar>
          </w:tcPr>
          <w:p>
            <w:pPr>
              <w:jc w:val="left"/>
            </w:pPr>
            <w:r>
              <w:rPr>
                <w:rFonts w:ascii="Calibri" w:hAnsi="Calibri"/>
                <w:color w:val="282828"/>
                <w:sz w:val="18"/>
              </w:rPr>
              <w:t>IsMonthStart</w:t>
            </w:r>
          </w:p>
        </w:tc>
        <w:tc>
          <w:tcPr>
            <w:tcW w:type="dxa" w:w="2592"/>
            <w:shd w:fill="F9FAFC"/>
            <w:tcMar>
              <w:top w:w="80" w:type="dxa"/>
              <w:bottom w:w="80" w:type="dxa"/>
              <w:left w:w="120" w:type="dxa"/>
              <w:right w:w="120" w:type="dxa"/>
            </w:tcMar>
          </w:tcPr>
          <w:p>
            <w:pPr>
              <w:jc w:val="left"/>
            </w:pPr>
            <w:r>
              <w:rPr>
                <w:rFonts w:ascii="Calibri" w:hAnsi="Calibri"/>
                <w:color w:val="282828"/>
                <w:sz w:val="18"/>
              </w:rPr>
              <w:t>Date.dt.is_month_start</w:t>
            </w:r>
          </w:p>
        </w:tc>
        <w:tc>
          <w:tcPr>
            <w:tcW w:type="dxa" w:w="1872"/>
            <w:shd w:fill="F9FAFC"/>
            <w:tcMar>
              <w:top w:w="80" w:type="dxa"/>
              <w:bottom w:w="80" w:type="dxa"/>
              <w:left w:w="120" w:type="dxa"/>
              <w:right w:w="120" w:type="dxa"/>
            </w:tcMar>
          </w:tcPr>
          <w:p>
            <w:pPr>
              <w:jc w:val="left"/>
            </w:pPr>
            <w:r>
              <w:rPr>
                <w:rFonts w:ascii="Calibri" w:hAnsi="Calibri"/>
                <w:color w:val="282828"/>
                <w:sz w:val="18"/>
              </w:rPr>
              <w:t>Binary (0/1)</w:t>
            </w:r>
          </w:p>
        </w:tc>
        <w:tc>
          <w:tcPr>
            <w:tcW w:type="dxa" w:w="3312"/>
            <w:shd w:fill="F9FAFC"/>
            <w:tcMar>
              <w:top w:w="80" w:type="dxa"/>
              <w:bottom w:w="80" w:type="dxa"/>
              <w:left w:w="120" w:type="dxa"/>
              <w:right w:w="120" w:type="dxa"/>
            </w:tcMar>
          </w:tcPr>
          <w:p>
            <w:pPr>
              <w:jc w:val="left"/>
            </w:pPr>
            <w:r>
              <w:rPr>
                <w:rFonts w:ascii="Calibri" w:hAnsi="Calibri"/>
                <w:color w:val="282828"/>
                <w:sz w:val="18"/>
              </w:rPr>
              <w:t>Captures beginning-of-month salary and benefit spending</w:t>
            </w:r>
          </w:p>
        </w:tc>
      </w:tr>
      <w:tr>
        <w:tc>
          <w:tcPr>
            <w:tcW w:type="dxa" w:w="2016"/>
            <w:shd w:fill="FFFFFF"/>
            <w:tcMar>
              <w:top w:w="80" w:type="dxa"/>
              <w:bottom w:w="80" w:type="dxa"/>
              <w:left w:w="120" w:type="dxa"/>
              <w:right w:w="120" w:type="dxa"/>
            </w:tcMar>
          </w:tcPr>
          <w:p>
            <w:pPr>
              <w:jc w:val="left"/>
            </w:pPr>
            <w:r>
              <w:rPr>
                <w:rFonts w:ascii="Calibri" w:hAnsi="Calibri"/>
                <w:color w:val="282828"/>
                <w:sz w:val="18"/>
              </w:rPr>
              <w:t>IsMonthEnd</w:t>
            </w:r>
          </w:p>
        </w:tc>
        <w:tc>
          <w:tcPr>
            <w:tcW w:type="dxa" w:w="2592"/>
            <w:shd w:fill="FFFFFF"/>
            <w:tcMar>
              <w:top w:w="80" w:type="dxa"/>
              <w:bottom w:w="80" w:type="dxa"/>
              <w:left w:w="120" w:type="dxa"/>
              <w:right w:w="120" w:type="dxa"/>
            </w:tcMar>
          </w:tcPr>
          <w:p>
            <w:pPr>
              <w:jc w:val="left"/>
            </w:pPr>
            <w:r>
              <w:rPr>
                <w:rFonts w:ascii="Calibri" w:hAnsi="Calibri"/>
                <w:color w:val="282828"/>
                <w:sz w:val="18"/>
              </w:rPr>
              <w:t>Date.dt.is_month_end</w:t>
            </w:r>
          </w:p>
        </w:tc>
        <w:tc>
          <w:tcPr>
            <w:tcW w:type="dxa" w:w="1872"/>
            <w:shd w:fill="FFFFFF"/>
            <w:tcMar>
              <w:top w:w="80" w:type="dxa"/>
              <w:bottom w:w="80" w:type="dxa"/>
              <w:left w:w="120" w:type="dxa"/>
              <w:right w:w="120" w:type="dxa"/>
            </w:tcMar>
          </w:tcPr>
          <w:p>
            <w:pPr>
              <w:jc w:val="left"/>
            </w:pPr>
            <w:r>
              <w:rPr>
                <w:rFonts w:ascii="Calibri" w:hAnsi="Calibri"/>
                <w:color w:val="282828"/>
                <w:sz w:val="18"/>
              </w:rPr>
              <w:t>Binary (0/1)</w:t>
            </w:r>
          </w:p>
        </w:tc>
        <w:tc>
          <w:tcPr>
            <w:tcW w:type="dxa" w:w="3312"/>
            <w:shd w:fill="FFFFFF"/>
            <w:tcMar>
              <w:top w:w="80" w:type="dxa"/>
              <w:bottom w:w="80" w:type="dxa"/>
              <w:left w:w="120" w:type="dxa"/>
              <w:right w:w="120" w:type="dxa"/>
            </w:tcMar>
          </w:tcPr>
          <w:p>
            <w:pPr>
              <w:jc w:val="left"/>
            </w:pPr>
            <w:r>
              <w:rPr>
                <w:rFonts w:ascii="Calibri" w:hAnsi="Calibri"/>
                <w:color w:val="282828"/>
                <w:sz w:val="18"/>
              </w:rPr>
              <w:t>Captures end-of-month clearance and budgetary cycles</w:t>
            </w:r>
          </w:p>
        </w:tc>
      </w:tr>
      <w:tr>
        <w:tc>
          <w:tcPr>
            <w:tcW w:type="dxa" w:w="2016"/>
            <w:shd w:fill="F9FAFC"/>
            <w:tcMar>
              <w:top w:w="80" w:type="dxa"/>
              <w:bottom w:w="80" w:type="dxa"/>
              <w:left w:w="120" w:type="dxa"/>
              <w:right w:w="120" w:type="dxa"/>
            </w:tcMar>
          </w:tcPr>
          <w:p>
            <w:pPr>
              <w:jc w:val="left"/>
            </w:pPr>
            <w:r>
              <w:rPr>
                <w:rFonts w:ascii="Calibri" w:hAnsi="Calibri"/>
                <w:color w:val="282828"/>
                <w:sz w:val="18"/>
              </w:rPr>
              <w:t>TotalMarkDown</w:t>
            </w:r>
          </w:p>
        </w:tc>
        <w:tc>
          <w:tcPr>
            <w:tcW w:type="dxa" w:w="2592"/>
            <w:shd w:fill="F9FAFC"/>
            <w:tcMar>
              <w:top w:w="80" w:type="dxa"/>
              <w:bottom w:w="80" w:type="dxa"/>
              <w:left w:w="120" w:type="dxa"/>
              <w:right w:w="120" w:type="dxa"/>
            </w:tcMar>
          </w:tcPr>
          <w:p>
            <w:pPr>
              <w:jc w:val="left"/>
            </w:pPr>
            <w:r>
              <w:rPr>
                <w:rFonts w:ascii="Calibri" w:hAnsi="Calibri"/>
                <w:color w:val="282828"/>
                <w:sz w:val="18"/>
              </w:rPr>
              <w:t>Sum of MarkDown1 through 5</w:t>
            </w:r>
          </w:p>
        </w:tc>
        <w:tc>
          <w:tcPr>
            <w:tcW w:type="dxa" w:w="1872"/>
            <w:shd w:fill="F9FAFC"/>
            <w:tcMar>
              <w:top w:w="80" w:type="dxa"/>
              <w:bottom w:w="80" w:type="dxa"/>
              <w:left w:w="120" w:type="dxa"/>
              <w:right w:w="120" w:type="dxa"/>
            </w:tcMar>
          </w:tcPr>
          <w:p>
            <w:pPr>
              <w:jc w:val="left"/>
            </w:pPr>
            <w:r>
              <w:rPr>
                <w:rFonts w:ascii="Calibri" w:hAnsi="Calibri"/>
                <w:color w:val="282828"/>
                <w:sz w:val="18"/>
              </w:rPr>
              <w:t>Float ($)</w:t>
            </w:r>
          </w:p>
        </w:tc>
        <w:tc>
          <w:tcPr>
            <w:tcW w:type="dxa" w:w="3312"/>
            <w:shd w:fill="F9FAFC"/>
            <w:tcMar>
              <w:top w:w="80" w:type="dxa"/>
              <w:bottom w:w="80" w:type="dxa"/>
              <w:left w:w="120" w:type="dxa"/>
              <w:right w:w="120" w:type="dxa"/>
            </w:tcMar>
          </w:tcPr>
          <w:p>
            <w:pPr>
              <w:jc w:val="left"/>
            </w:pPr>
            <w:r>
              <w:rPr>
                <w:rFonts w:ascii="Calibri" w:hAnsi="Calibri"/>
                <w:color w:val="282828"/>
                <w:sz w:val="18"/>
              </w:rPr>
              <w:t>Aggregate promotional discount dollar magnitude</w:t>
            </w:r>
          </w:p>
        </w:tc>
      </w:tr>
      <w:tr>
        <w:tc>
          <w:tcPr>
            <w:tcW w:type="dxa" w:w="2016"/>
            <w:shd w:fill="FFFFFF"/>
            <w:tcMar>
              <w:top w:w="80" w:type="dxa"/>
              <w:bottom w:w="80" w:type="dxa"/>
              <w:left w:w="120" w:type="dxa"/>
              <w:right w:w="120" w:type="dxa"/>
            </w:tcMar>
          </w:tcPr>
          <w:p>
            <w:pPr>
              <w:jc w:val="left"/>
            </w:pPr>
            <w:r>
              <w:rPr>
                <w:rFonts w:ascii="Calibri" w:hAnsi="Calibri"/>
                <w:color w:val="282828"/>
                <w:sz w:val="18"/>
              </w:rPr>
              <w:t>HasMarkDown</w:t>
            </w:r>
          </w:p>
        </w:tc>
        <w:tc>
          <w:tcPr>
            <w:tcW w:type="dxa" w:w="2592"/>
            <w:shd w:fill="FFFFFF"/>
            <w:tcMar>
              <w:top w:w="80" w:type="dxa"/>
              <w:bottom w:w="80" w:type="dxa"/>
              <w:left w:w="120" w:type="dxa"/>
              <w:right w:w="120" w:type="dxa"/>
            </w:tcMar>
          </w:tcPr>
          <w:p>
            <w:pPr>
              <w:jc w:val="left"/>
            </w:pPr>
            <w:r>
              <w:rPr>
                <w:rFonts w:ascii="Calibri" w:hAnsi="Calibri"/>
                <w:color w:val="282828"/>
                <w:sz w:val="18"/>
              </w:rPr>
              <w:t>Binary flag: TotalMarkDown &gt; 0</w:t>
            </w:r>
          </w:p>
        </w:tc>
        <w:tc>
          <w:tcPr>
            <w:tcW w:type="dxa" w:w="1872"/>
            <w:shd w:fill="FFFFFF"/>
            <w:tcMar>
              <w:top w:w="80" w:type="dxa"/>
              <w:bottom w:w="80" w:type="dxa"/>
              <w:left w:w="120" w:type="dxa"/>
              <w:right w:w="120" w:type="dxa"/>
            </w:tcMar>
          </w:tcPr>
          <w:p>
            <w:pPr>
              <w:jc w:val="left"/>
            </w:pPr>
            <w:r>
              <w:rPr>
                <w:rFonts w:ascii="Calibri" w:hAnsi="Calibri"/>
                <w:color w:val="282828"/>
                <w:sz w:val="18"/>
              </w:rPr>
              <w:t>Binary (0/1)</w:t>
            </w:r>
          </w:p>
        </w:tc>
        <w:tc>
          <w:tcPr>
            <w:tcW w:type="dxa" w:w="3312"/>
            <w:shd w:fill="FFFFFF"/>
            <w:tcMar>
              <w:top w:w="80" w:type="dxa"/>
              <w:bottom w:w="80" w:type="dxa"/>
              <w:left w:w="120" w:type="dxa"/>
              <w:right w:w="120" w:type="dxa"/>
            </w:tcMar>
          </w:tcPr>
          <w:p>
            <w:pPr>
              <w:jc w:val="left"/>
            </w:pPr>
            <w:r>
              <w:rPr>
                <w:rFonts w:ascii="Calibri" w:hAnsi="Calibri"/>
                <w:color w:val="282828"/>
                <w:sz w:val="18"/>
              </w:rPr>
              <w:t>Clear indicator of whether store is in promotional status</w:t>
            </w:r>
          </w:p>
        </w:tc>
      </w:tr>
    </w:tbl>
    <w:p>
      <w:pPr>
        <w:spacing w:after="280" w:before="80" w:line="276" w:lineRule="auto"/>
        <w:jc w:val="center"/>
      </w:pPr>
      <w:r>
        <w:rPr>
          <w:rFonts w:ascii="Calibri" w:hAnsi="Calibri"/>
          <w:color w:val="282828"/>
          <w:sz w:val="22"/>
        </w:rPr>
        <w:t>Table 9.1: Master Feature Engineering Specification (23 Predictors)</w:t>
      </w:r>
    </w:p>
    <w:p>
      <w:pPr>
        <w:keepNext/>
        <w:spacing w:before="360" w:after="160"/>
      </w:pPr>
      <w:r>
        <w:rPr>
          <w:rFonts w:ascii="Calibri" w:hAnsi="Calibri"/>
          <w:b/>
          <w:color w:val="1F4E79"/>
          <w:sz w:val="32"/>
        </w:rPr>
        <w:t>10. MACHINE LEARNING METHODOLOGY</w:t>
      </w:r>
    </w:p>
    <w:p>
      <w:pPr>
        <w:spacing w:after="120" w:before="0" w:line="276" w:lineRule="auto"/>
        <w:jc w:val="both"/>
      </w:pPr>
      <w:r>
        <w:rPr>
          <w:rFonts w:ascii="Calibri" w:hAnsi="Calibri"/>
          <w:color w:val="282828"/>
          <w:sz w:val="22"/>
        </w:rPr>
        <w:t>A rigorous, scientifically sound machine learning methodology was designed to ensure that model evaluation faithfully simulates production deployment conditions. The critical methodological decisions include:</w:t>
      </w:r>
    </w:p>
    <w:p>
      <w:pPr>
        <w:keepNext/>
        <w:spacing w:before="240" w:after="100"/>
      </w:pPr>
      <w:r>
        <w:rPr>
          <w:rFonts w:ascii="Calibri" w:hAnsi="Calibri"/>
          <w:b/>
          <w:color w:val="2E5597"/>
          <w:sz w:val="26"/>
        </w:rPr>
        <w:t>10.1 Temporal Train/Validation Splitting (Data Leakage Prevention)</w:t>
      </w:r>
    </w:p>
    <w:p>
      <w:pPr>
        <w:spacing w:after="120" w:before="0" w:line="276" w:lineRule="auto"/>
        <w:jc w:val="both"/>
      </w:pPr>
      <w:r>
        <w:rPr>
          <w:rFonts w:ascii="Calibri" w:hAnsi="Calibri"/>
          <w:color w:val="282828"/>
          <w:sz w:val="22"/>
        </w:rPr>
        <w:t>In sales forecasting, applying random k-fold cross-validation or random train-test splitting introduces severe **temporal data leakage**. If records from future dates (e.g., Thanksgiving 2011) are randomly mixed into the training set while predicting past dates, the model learns future demand patterns beforehand, yielding artificially deflated error metrics that fail catastrophically in production.</w:t>
      </w:r>
    </w:p>
    <w:p>
      <w:pPr>
        <w:spacing w:after="120" w:before="0" w:line="276" w:lineRule="auto"/>
        <w:jc w:val="both"/>
      </w:pPr>
      <w:r>
        <w:rPr>
          <w:rFonts w:ascii="Calibri" w:hAnsi="Calibri"/>
          <w:color w:val="282828"/>
          <w:sz w:val="22"/>
        </w:rPr>
        <w:t>To prevent data leakage, a strict **time-based validation split** was enforced at **July 1, 2012**:</w:t>
      </w:r>
    </w:p>
    <w:p>
      <w:pPr>
        <w:pStyle w:val="ListBullet"/>
        <w:spacing w:after="80" w:line="276" w:lineRule="auto"/>
      </w:pPr>
      <w:r>
        <w:rPr>
          <w:rFonts w:ascii="Calibri" w:hAnsi="Calibri"/>
          <w:b/>
          <w:color w:val="282828"/>
          <w:sz w:val="21"/>
        </w:rPr>
        <w:t xml:space="preserve">Training Partition: </w:t>
      </w:r>
      <w:r>
        <w:rPr>
          <w:rFonts w:ascii="Calibri" w:hAnsi="Calibri"/>
          <w:color w:val="282828"/>
          <w:sz w:val="21"/>
        </w:rPr>
        <w:t>February 5, 2010 to June 29, 2012 (125 reporting weeks, 359,004 records, ~85.2% of data). Models learn exclusively from past chronological history.</w:t>
      </w:r>
    </w:p>
    <w:p>
      <w:pPr>
        <w:pStyle w:val="ListBullet"/>
        <w:spacing w:after="80" w:line="276" w:lineRule="auto"/>
      </w:pPr>
      <w:r>
        <w:rPr>
          <w:rFonts w:ascii="Calibri" w:hAnsi="Calibri"/>
          <w:b/>
          <w:color w:val="282828"/>
          <w:sz w:val="21"/>
        </w:rPr>
        <w:t xml:space="preserve">Validation Partition: </w:t>
      </w:r>
      <w:r>
        <w:rPr>
          <w:rFonts w:ascii="Calibri" w:hAnsi="Calibri"/>
          <w:color w:val="282828"/>
          <w:sz w:val="21"/>
        </w:rPr>
        <w:t>July 6, 2012 to October 26, 2012 (17 reporting weeks, 62,566 records, ~14.8% of data). Serves as the unseen holdout set for all model benchmarking.</w:t>
      </w:r>
    </w:p>
    <w:p>
      <w:pPr>
        <w:pStyle w:val="ListBullet"/>
        <w:spacing w:after="80" w:line="276" w:lineRule="auto"/>
      </w:pPr>
      <w:r>
        <w:rPr>
          <w:rFonts w:ascii="Calibri" w:hAnsi="Calibri"/>
          <w:b/>
          <w:color w:val="282828"/>
          <w:sz w:val="21"/>
        </w:rPr>
        <w:t xml:space="preserve">Test Inference Partition: </w:t>
      </w:r>
      <w:r>
        <w:rPr>
          <w:rFonts w:ascii="Calibri" w:hAnsi="Calibri"/>
          <w:color w:val="282828"/>
          <w:sz w:val="21"/>
        </w:rPr>
        <w:t>November 2, 2012 to July 26, 2013 (39 reporting weeks, 115,064 records). Unseen future horizon evaluated by the final serialized model.</w:t>
      </w:r>
    </w:p>
    <w:p>
      <w:pPr>
        <w:keepNext/>
        <w:spacing w:before="360" w:after="160"/>
      </w:pPr>
      <w:r>
        <w:rPr>
          <w:rFonts w:ascii="Calibri" w:hAnsi="Calibri"/>
          <w:b/>
          <w:color w:val="1F4E79"/>
          <w:sz w:val="32"/>
        </w:rPr>
        <w:t>11. MACHINE LEARNING MODELS</w:t>
      </w:r>
    </w:p>
    <w:p>
      <w:pPr>
        <w:spacing w:after="120" w:before="0" w:line="276" w:lineRule="auto"/>
        <w:jc w:val="both"/>
      </w:pPr>
      <w:r>
        <w:rPr>
          <w:rFonts w:ascii="Calibri" w:hAnsi="Calibri"/>
          <w:color w:val="282828"/>
          <w:sz w:val="22"/>
        </w:rPr>
        <w:t>Five distinct model architectures spanning baseline heuristics, linear regression, and non-linear ensemble methods were trained and evaluated:</w:t>
      </w:r>
    </w:p>
    <w:p>
      <w:pPr>
        <w:keepNext/>
        <w:spacing w:before="240" w:after="100"/>
      </w:pPr>
      <w:r>
        <w:rPr>
          <w:rFonts w:ascii="Calibri" w:hAnsi="Calibri"/>
          <w:b/>
          <w:color w:val="2E5597"/>
          <w:sz w:val="26"/>
        </w:rPr>
        <w:t>11.1 Naive Mean Baseline</w:t>
      </w:r>
    </w:p>
    <w:p>
      <w:pPr>
        <w:spacing w:after="120" w:before="0" w:line="276" w:lineRule="auto"/>
        <w:jc w:val="both"/>
      </w:pPr>
      <w:r>
        <w:rPr>
          <w:rFonts w:ascii="Calibri" w:hAnsi="Calibri"/>
          <w:color w:val="282828"/>
          <w:sz w:val="22"/>
        </w:rPr>
        <w:t>The Naive Mean Baseline computes the historical mean sales for each unique [Store, Dept] tuple from the training set. For unseen combinations, it falls back to the global store mean. This heuristic establishes the absolute minimum performance threshold that any machine learning model must convincingly surpass.</w:t>
      </w:r>
    </w:p>
    <w:p>
      <w:pPr>
        <w:keepNext/>
        <w:spacing w:before="240" w:after="100"/>
      </w:pPr>
      <w:r>
        <w:rPr>
          <w:rFonts w:ascii="Calibri" w:hAnsi="Calibri"/>
          <w:b/>
          <w:color w:val="2E5597"/>
          <w:sz w:val="26"/>
        </w:rPr>
        <w:t>11.2 Ordinary Least Squares Linear Regression</w:t>
      </w:r>
    </w:p>
    <w:p>
      <w:pPr>
        <w:spacing w:after="120" w:before="0" w:line="276" w:lineRule="auto"/>
        <w:jc w:val="both"/>
      </w:pPr>
      <w:r>
        <w:rPr>
          <w:rFonts w:ascii="Calibri" w:hAnsi="Calibri"/>
          <w:color w:val="282828"/>
          <w:sz w:val="22"/>
        </w:rPr>
        <w:t>Linear Regression models a linear hyper-plane minimizing sum of squared residuals. Continuous features were standardized using StandardScaler. This model serves as the classical parametric benchmark to evaluate whether retail sales relationships can be adequately captured by linear combinations of predictors.</w:t>
      </w:r>
    </w:p>
    <w:p>
      <w:pPr>
        <w:keepNext/>
        <w:spacing w:before="240" w:after="100"/>
      </w:pPr>
      <w:r>
        <w:rPr>
          <w:rFonts w:ascii="Calibri" w:hAnsi="Calibri"/>
          <w:b/>
          <w:color w:val="2E5597"/>
          <w:sz w:val="26"/>
        </w:rPr>
        <w:t>11.3 Random Forest Regressor</w:t>
      </w:r>
    </w:p>
    <w:p>
      <w:pPr>
        <w:spacing w:after="120" w:before="0" w:line="276" w:lineRule="auto"/>
        <w:jc w:val="both"/>
      </w:pPr>
      <w:r>
        <w:rPr>
          <w:rFonts w:ascii="Calibri" w:hAnsi="Calibri"/>
          <w:color w:val="282828"/>
          <w:sz w:val="22"/>
        </w:rPr>
        <w:t>Random Forest is an ensemble learning method that builds a multitude of de-correlated decision trees using bootstrap aggregation (bagging) and random feature subspace selection. Configured with 50 estimators, a maximum depth of 15, and parallel multi-core execution (n_jobs=-1), Random Forest excels at modeling high-cardinality categorical partitions and non-linear feature interactions without making parametric distribution assumptions.</w:t>
      </w:r>
    </w:p>
    <w:p>
      <w:pPr>
        <w:keepNext/>
        <w:spacing w:before="240" w:after="100"/>
      </w:pPr>
      <w:r>
        <w:rPr>
          <w:rFonts w:ascii="Calibri" w:hAnsi="Calibri"/>
          <w:b/>
          <w:color w:val="2E5597"/>
          <w:sz w:val="26"/>
        </w:rPr>
        <w:t>11.4 Histogram-based Gradient Boosting (HistGradientBoostingRegressor)</w:t>
      </w:r>
    </w:p>
    <w:p>
      <w:pPr>
        <w:spacing w:after="120" w:before="0" w:line="276" w:lineRule="auto"/>
        <w:jc w:val="both"/>
      </w:pPr>
      <w:r>
        <w:rPr>
          <w:rFonts w:ascii="Calibri" w:hAnsi="Calibri"/>
          <w:color w:val="282828"/>
          <w:sz w:val="22"/>
        </w:rPr>
        <w:t>HistGradientBoosting bins continuous numerical features into discrete 256-integer histograms, drastically reducing split computation time. Built with maximum 100 iterations, learning rate 0.1, and max_depth 12, it models sequential gradient descent errors efficiently on large tabular datasets.</w:t>
      </w:r>
    </w:p>
    <w:p>
      <w:pPr>
        <w:keepNext/>
        <w:spacing w:before="240" w:after="100"/>
      </w:pPr>
      <w:r>
        <w:rPr>
          <w:rFonts w:ascii="Calibri" w:hAnsi="Calibri"/>
          <w:b/>
          <w:color w:val="2E5597"/>
          <w:sz w:val="26"/>
        </w:rPr>
        <w:t>11.5 eXtreme Gradient Boosting (XGBoost Regressor)</w:t>
      </w:r>
    </w:p>
    <w:p>
      <w:pPr>
        <w:spacing w:after="120" w:before="0" w:line="276" w:lineRule="auto"/>
        <w:jc w:val="both"/>
      </w:pPr>
      <w:r>
        <w:rPr>
          <w:rFonts w:ascii="Calibri" w:hAnsi="Calibri"/>
          <w:color w:val="282828"/>
          <w:sz w:val="22"/>
        </w:rPr>
        <w:t>XGBoost is a state-of-the-art gradient boosting framework implementing second-order Taylor expansion loss approximations and L1/L2 regularization terms (gamma, lambda) to mitigate overfitting. Configured with 100 estimators, learning rate 0.1, max_depth 8, and colsample_bytree 0.8, it represents the industry gold-standard for tabular prediction.</w:t>
      </w:r>
    </w:p>
    <w:p>
      <w:r>
        <w:br w:type="page"/>
      </w:r>
    </w:p>
    <w:p>
      <w:pPr>
        <w:keepNext/>
        <w:spacing w:before="360" w:after="160"/>
      </w:pPr>
      <w:r>
        <w:rPr>
          <w:rFonts w:ascii="Calibri" w:hAnsi="Calibri"/>
          <w:b/>
          <w:color w:val="1F4E79"/>
          <w:sz w:val="32"/>
        </w:rPr>
        <w:t>12. MODEL EVALUATION AND COMPARISON</w:t>
      </w:r>
    </w:p>
    <w:p>
      <w:pPr>
        <w:spacing w:after="120" w:before="0" w:line="276" w:lineRule="auto"/>
        <w:jc w:val="both"/>
      </w:pPr>
      <w:r>
        <w:rPr>
          <w:rFonts w:ascii="Calibri" w:hAnsi="Calibri"/>
          <w:color w:val="282828"/>
          <w:sz w:val="22"/>
        </w:rPr>
        <w:t>Model evaluation was conducted on the 62,566 holdout records from the time-based validation partition. Four complementary metrics were computed:</w:t>
      </w:r>
    </w:p>
    <w:p>
      <w:pPr>
        <w:pStyle w:val="ListBullet"/>
        <w:spacing w:after="80" w:line="276" w:lineRule="auto"/>
      </w:pPr>
      <w:r>
        <w:rPr>
          <w:rFonts w:ascii="Calibri" w:hAnsi="Calibri"/>
          <w:b/>
          <w:color w:val="282828"/>
          <w:sz w:val="21"/>
        </w:rPr>
        <w:t xml:space="preserve">Mean Absolute Error (MAE): </w:t>
      </w:r>
      <w:r>
        <w:rPr>
          <w:rFonts w:ascii="Calibri" w:hAnsi="Calibri"/>
          <w:color w:val="282828"/>
          <w:sz w:val="21"/>
        </w:rPr>
        <w:t>Average magnitude of absolute dollar forecast errors: MAE = (1/n) * sum(|y_i - y_hat_i|).</w:t>
      </w:r>
    </w:p>
    <w:p>
      <w:pPr>
        <w:pStyle w:val="ListBullet"/>
        <w:spacing w:after="80" w:line="276" w:lineRule="auto"/>
      </w:pPr>
      <w:r>
        <w:rPr>
          <w:rFonts w:ascii="Calibri" w:hAnsi="Calibri"/>
          <w:b/>
          <w:color w:val="282828"/>
          <w:sz w:val="21"/>
        </w:rPr>
        <w:t xml:space="preserve">Root Mean Squared Error (RMSE): </w:t>
      </w:r>
      <w:r>
        <w:rPr>
          <w:rFonts w:ascii="Calibri" w:hAnsi="Calibri"/>
          <w:color w:val="282828"/>
          <w:sz w:val="21"/>
        </w:rPr>
        <w:t>Square root of mean squared errors, heavily penalizing large deviations: RMSE = sqrt((1/n) * sum((y_i - y_hat_i)^2)). Primary model selection criterion.</w:t>
      </w:r>
    </w:p>
    <w:p>
      <w:pPr>
        <w:pStyle w:val="ListBullet"/>
        <w:spacing w:after="80" w:line="276" w:lineRule="auto"/>
      </w:pPr>
      <w:r>
        <w:rPr>
          <w:rFonts w:ascii="Calibri" w:hAnsi="Calibri"/>
          <w:b/>
          <w:color w:val="282828"/>
          <w:sz w:val="21"/>
        </w:rPr>
        <w:t xml:space="preserve">Coefficient of Determination (R²): </w:t>
      </w:r>
      <w:r>
        <w:rPr>
          <w:rFonts w:ascii="Calibri" w:hAnsi="Calibri"/>
          <w:color w:val="282828"/>
          <w:sz w:val="21"/>
        </w:rPr>
        <w:t>Proportion of total target variance explained by model: R² = 1 - (SS_res / SS_tot).</w:t>
      </w:r>
    </w:p>
    <w:p>
      <w:pPr>
        <w:pStyle w:val="ListBullet"/>
        <w:spacing w:after="80" w:line="276" w:lineRule="auto"/>
      </w:pPr>
      <w:r>
        <w:rPr>
          <w:rFonts w:ascii="Calibri" w:hAnsi="Calibri"/>
          <w:b/>
          <w:color w:val="282828"/>
          <w:sz w:val="21"/>
        </w:rPr>
        <w:t xml:space="preserve">Mean Absolute Percentage Error (MAPE): </w:t>
      </w:r>
      <w:r>
        <w:rPr>
          <w:rFonts w:ascii="Calibri" w:hAnsi="Calibri"/>
          <w:color w:val="282828"/>
          <w:sz w:val="21"/>
        </w:rPr>
        <w:t>Average percentage error relative to actual sales: MAPE = (100%/n) * sum(|(y_i - y_hat_i) / y_i|), evaluated on rows where |y_i| &gt;= $100.</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560"/>
        <w:gridCol w:w="1560"/>
        <w:gridCol w:w="1560"/>
        <w:gridCol w:w="1560"/>
        <w:gridCol w:w="1560"/>
        <w:gridCol w:w="1560"/>
      </w:tblGrid>
      <w:tr>
        <w:tc>
          <w:tcPr>
            <w:tcW w:type="dxa" w:w="2592"/>
            <w:shd w:fill="1F4E79"/>
            <w:tcMar>
              <w:top w:w="120" w:type="dxa"/>
              <w:bottom w:w="120" w:type="dxa"/>
              <w:left w:w="150" w:type="dxa"/>
              <w:right w:w="150" w:type="dxa"/>
            </w:tcMar>
          </w:tcPr>
          <w:p>
            <w:pPr>
              <w:jc w:val="center"/>
            </w:pPr>
            <w:r>
              <w:rPr>
                <w:rFonts w:ascii="Calibri" w:hAnsi="Calibri"/>
                <w:b/>
                <w:color w:val="FFFFFF"/>
                <w:sz w:val="19"/>
              </w:rPr>
              <w:t>Model Name</w:t>
            </w:r>
          </w:p>
        </w:tc>
        <w:tc>
          <w:tcPr>
            <w:tcW w:type="dxa" w:w="1296"/>
            <w:shd w:fill="1F4E79"/>
            <w:tcMar>
              <w:top w:w="120" w:type="dxa"/>
              <w:bottom w:w="120" w:type="dxa"/>
              <w:left w:w="150" w:type="dxa"/>
              <w:right w:w="150" w:type="dxa"/>
            </w:tcMar>
          </w:tcPr>
          <w:p>
            <w:pPr>
              <w:jc w:val="center"/>
            </w:pPr>
            <w:r>
              <w:rPr>
                <w:rFonts w:ascii="Calibri" w:hAnsi="Calibri"/>
                <w:b/>
                <w:color w:val="FFFFFF"/>
                <w:sz w:val="19"/>
              </w:rPr>
              <w:t>MAE ($)</w:t>
            </w:r>
          </w:p>
        </w:tc>
        <w:tc>
          <w:tcPr>
            <w:tcW w:type="dxa" w:w="1296"/>
            <w:shd w:fill="1F4E79"/>
            <w:tcMar>
              <w:top w:w="120" w:type="dxa"/>
              <w:bottom w:w="120" w:type="dxa"/>
              <w:left w:w="150" w:type="dxa"/>
              <w:right w:w="150" w:type="dxa"/>
            </w:tcMar>
          </w:tcPr>
          <w:p>
            <w:pPr>
              <w:jc w:val="center"/>
            </w:pPr>
            <w:r>
              <w:rPr>
                <w:rFonts w:ascii="Calibri" w:hAnsi="Calibri"/>
                <w:b/>
                <w:color w:val="FFFFFF"/>
                <w:sz w:val="19"/>
              </w:rPr>
              <w:t>RMSE ($)</w:t>
            </w:r>
          </w:p>
        </w:tc>
        <w:tc>
          <w:tcPr>
            <w:tcW w:type="dxa" w:w="1152"/>
            <w:shd w:fill="1F4E79"/>
            <w:tcMar>
              <w:top w:w="120" w:type="dxa"/>
              <w:bottom w:w="120" w:type="dxa"/>
              <w:left w:w="150" w:type="dxa"/>
              <w:right w:w="150" w:type="dxa"/>
            </w:tcMar>
          </w:tcPr>
          <w:p>
            <w:pPr>
              <w:jc w:val="center"/>
            </w:pPr>
            <w:r>
              <w:rPr>
                <w:rFonts w:ascii="Calibri" w:hAnsi="Calibri"/>
                <w:b/>
                <w:color w:val="FFFFFF"/>
                <w:sz w:val="19"/>
              </w:rPr>
              <w:t>R² Score</w:t>
            </w:r>
          </w:p>
        </w:tc>
        <w:tc>
          <w:tcPr>
            <w:tcW w:type="dxa" w:w="1152"/>
            <w:shd w:fill="1F4E79"/>
            <w:tcMar>
              <w:top w:w="120" w:type="dxa"/>
              <w:bottom w:w="120" w:type="dxa"/>
              <w:left w:w="150" w:type="dxa"/>
              <w:right w:w="150" w:type="dxa"/>
            </w:tcMar>
          </w:tcPr>
          <w:p>
            <w:pPr>
              <w:jc w:val="center"/>
            </w:pPr>
            <w:r>
              <w:rPr>
                <w:rFonts w:ascii="Calibri" w:hAnsi="Calibri"/>
                <w:b/>
                <w:color w:val="FFFFFF"/>
                <w:sz w:val="19"/>
              </w:rPr>
              <w:t>MAPE (%)</w:t>
            </w:r>
          </w:p>
        </w:tc>
        <w:tc>
          <w:tcPr>
            <w:tcW w:type="dxa" w:w="2736"/>
            <w:shd w:fill="1F4E79"/>
            <w:tcMar>
              <w:top w:w="120" w:type="dxa"/>
              <w:bottom w:w="120" w:type="dxa"/>
              <w:left w:w="150" w:type="dxa"/>
              <w:right w:w="150" w:type="dxa"/>
            </w:tcMar>
          </w:tcPr>
          <w:p>
            <w:pPr>
              <w:jc w:val="center"/>
            </w:pPr>
            <w:r>
              <w:rPr>
                <w:rFonts w:ascii="Calibri" w:hAnsi="Calibri"/>
                <w:b/>
                <w:color w:val="FFFFFF"/>
                <w:sz w:val="19"/>
              </w:rPr>
              <w:t>Validation Assessment</w:t>
            </w:r>
          </w:p>
        </w:tc>
      </w:tr>
      <w:tr>
        <w:tc>
          <w:tcPr>
            <w:tcW w:type="dxa" w:w="2592"/>
            <w:shd w:fill="FFFFFF"/>
            <w:tcMar>
              <w:top w:w="80" w:type="dxa"/>
              <w:bottom w:w="80" w:type="dxa"/>
              <w:left w:w="120" w:type="dxa"/>
              <w:right w:w="120" w:type="dxa"/>
            </w:tcMar>
          </w:tcPr>
          <w:p>
            <w:pPr>
              <w:jc w:val="left"/>
            </w:pPr>
            <w:r>
              <w:rPr>
                <w:rFonts w:ascii="Calibri" w:hAnsi="Calibri"/>
                <w:color w:val="282828"/>
                <w:sz w:val="18"/>
              </w:rPr>
              <w:t>Random Forest Regressor</w:t>
            </w:r>
          </w:p>
        </w:tc>
        <w:tc>
          <w:tcPr>
            <w:tcW w:type="dxa" w:w="1296"/>
            <w:shd w:fill="FFFFFF"/>
            <w:tcMar>
              <w:top w:w="80" w:type="dxa"/>
              <w:bottom w:w="80" w:type="dxa"/>
              <w:left w:w="120" w:type="dxa"/>
              <w:right w:w="120" w:type="dxa"/>
            </w:tcMar>
          </w:tcPr>
          <w:p>
            <w:pPr>
              <w:jc w:val="right"/>
            </w:pPr>
            <w:r>
              <w:rPr>
                <w:rFonts w:ascii="Calibri" w:hAnsi="Calibri"/>
                <w:color w:val="282828"/>
                <w:sz w:val="18"/>
              </w:rPr>
              <w:t>2,075.79</w:t>
            </w:r>
          </w:p>
        </w:tc>
        <w:tc>
          <w:tcPr>
            <w:tcW w:type="dxa" w:w="1296"/>
            <w:shd w:fill="FFFFFF"/>
            <w:tcMar>
              <w:top w:w="80" w:type="dxa"/>
              <w:bottom w:w="80" w:type="dxa"/>
              <w:left w:w="120" w:type="dxa"/>
              <w:right w:w="120" w:type="dxa"/>
            </w:tcMar>
          </w:tcPr>
          <w:p>
            <w:pPr>
              <w:jc w:val="right"/>
            </w:pPr>
            <w:r>
              <w:rPr>
                <w:rFonts w:ascii="Calibri" w:hAnsi="Calibri"/>
                <w:color w:val="282828"/>
                <w:sz w:val="18"/>
              </w:rPr>
              <w:t>4,005.37</w:t>
            </w:r>
          </w:p>
        </w:tc>
        <w:tc>
          <w:tcPr>
            <w:tcW w:type="dxa" w:w="1152"/>
            <w:shd w:fill="FFFFFF"/>
            <w:tcMar>
              <w:top w:w="80" w:type="dxa"/>
              <w:bottom w:w="80" w:type="dxa"/>
              <w:left w:w="120" w:type="dxa"/>
              <w:right w:w="120" w:type="dxa"/>
            </w:tcMar>
          </w:tcPr>
          <w:p>
            <w:pPr>
              <w:jc w:val="right"/>
            </w:pPr>
            <w:r>
              <w:rPr>
                <w:rFonts w:ascii="Calibri" w:hAnsi="Calibri"/>
                <w:color w:val="282828"/>
                <w:sz w:val="18"/>
              </w:rPr>
              <w:t>0.9668</w:t>
            </w:r>
          </w:p>
        </w:tc>
        <w:tc>
          <w:tcPr>
            <w:tcW w:type="dxa" w:w="1152"/>
            <w:shd w:fill="FFFFFF"/>
            <w:tcMar>
              <w:top w:w="80" w:type="dxa"/>
              <w:bottom w:w="80" w:type="dxa"/>
              <w:left w:w="120" w:type="dxa"/>
              <w:right w:w="120" w:type="dxa"/>
            </w:tcMar>
          </w:tcPr>
          <w:p>
            <w:pPr>
              <w:jc w:val="right"/>
            </w:pPr>
            <w:r>
              <w:rPr>
                <w:rFonts w:ascii="Calibri" w:hAnsi="Calibri"/>
                <w:color w:val="282828"/>
                <w:sz w:val="18"/>
              </w:rPr>
              <w:t>29.84%</w:t>
            </w:r>
          </w:p>
        </w:tc>
        <w:tc>
          <w:tcPr>
            <w:tcW w:type="dxa" w:w="2736"/>
            <w:shd w:fill="FFFFFF"/>
            <w:tcMar>
              <w:top w:w="80" w:type="dxa"/>
              <w:bottom w:w="80" w:type="dxa"/>
              <w:left w:w="120" w:type="dxa"/>
              <w:right w:w="120" w:type="dxa"/>
            </w:tcMar>
          </w:tcPr>
          <w:p>
            <w:pPr>
              <w:jc w:val="left"/>
            </w:pPr>
            <w:r>
              <w:rPr>
                <w:rFonts w:ascii="Calibri" w:hAnsi="Calibri"/>
                <w:color w:val="282828"/>
                <w:sz w:val="18"/>
              </w:rPr>
              <w:t>WINNER: Lowest RMSE &amp; MAE; highest R²</w:t>
            </w:r>
          </w:p>
        </w:tc>
      </w:tr>
      <w:tr>
        <w:tc>
          <w:tcPr>
            <w:tcW w:type="dxa" w:w="2592"/>
            <w:shd w:fill="F9FAFC"/>
            <w:tcMar>
              <w:top w:w="80" w:type="dxa"/>
              <w:bottom w:w="80" w:type="dxa"/>
              <w:left w:w="120" w:type="dxa"/>
              <w:right w:w="120" w:type="dxa"/>
            </w:tcMar>
          </w:tcPr>
          <w:p>
            <w:pPr>
              <w:jc w:val="left"/>
            </w:pPr>
            <w:r>
              <w:rPr>
                <w:rFonts w:ascii="Calibri" w:hAnsi="Calibri"/>
                <w:color w:val="282828"/>
                <w:sz w:val="18"/>
              </w:rPr>
              <w:t>XGBoost Regressor</w:t>
            </w:r>
          </w:p>
        </w:tc>
        <w:tc>
          <w:tcPr>
            <w:tcW w:type="dxa" w:w="1296"/>
            <w:shd w:fill="F9FAFC"/>
            <w:tcMar>
              <w:top w:w="80" w:type="dxa"/>
              <w:bottom w:w="80" w:type="dxa"/>
              <w:left w:w="120" w:type="dxa"/>
              <w:right w:w="120" w:type="dxa"/>
            </w:tcMar>
          </w:tcPr>
          <w:p>
            <w:pPr>
              <w:jc w:val="right"/>
            </w:pPr>
            <w:r>
              <w:rPr>
                <w:rFonts w:ascii="Calibri" w:hAnsi="Calibri"/>
                <w:color w:val="282828"/>
                <w:sz w:val="18"/>
              </w:rPr>
              <w:t>2,547.69</w:t>
            </w:r>
          </w:p>
        </w:tc>
        <w:tc>
          <w:tcPr>
            <w:tcW w:type="dxa" w:w="1296"/>
            <w:shd w:fill="F9FAFC"/>
            <w:tcMar>
              <w:top w:w="80" w:type="dxa"/>
              <w:bottom w:w="80" w:type="dxa"/>
              <w:left w:w="120" w:type="dxa"/>
              <w:right w:w="120" w:type="dxa"/>
            </w:tcMar>
          </w:tcPr>
          <w:p>
            <w:pPr>
              <w:jc w:val="right"/>
            </w:pPr>
            <w:r>
              <w:rPr>
                <w:rFonts w:ascii="Calibri" w:hAnsi="Calibri"/>
                <w:color w:val="282828"/>
                <w:sz w:val="18"/>
              </w:rPr>
              <w:t>4,261.48</w:t>
            </w:r>
          </w:p>
        </w:tc>
        <w:tc>
          <w:tcPr>
            <w:tcW w:type="dxa" w:w="1152"/>
            <w:shd w:fill="F9FAFC"/>
            <w:tcMar>
              <w:top w:w="80" w:type="dxa"/>
              <w:bottom w:w="80" w:type="dxa"/>
              <w:left w:w="120" w:type="dxa"/>
              <w:right w:w="120" w:type="dxa"/>
            </w:tcMar>
          </w:tcPr>
          <w:p>
            <w:pPr>
              <w:jc w:val="right"/>
            </w:pPr>
            <w:r>
              <w:rPr>
                <w:rFonts w:ascii="Calibri" w:hAnsi="Calibri"/>
                <w:color w:val="282828"/>
                <w:sz w:val="18"/>
              </w:rPr>
              <w:t>0.9624</w:t>
            </w:r>
          </w:p>
        </w:tc>
        <w:tc>
          <w:tcPr>
            <w:tcW w:type="dxa" w:w="1152"/>
            <w:shd w:fill="F9FAFC"/>
            <w:tcMar>
              <w:top w:w="80" w:type="dxa"/>
              <w:bottom w:w="80" w:type="dxa"/>
              <w:left w:w="120" w:type="dxa"/>
              <w:right w:w="120" w:type="dxa"/>
            </w:tcMar>
          </w:tcPr>
          <w:p>
            <w:pPr>
              <w:jc w:val="right"/>
            </w:pPr>
            <w:r>
              <w:rPr>
                <w:rFonts w:ascii="Calibri" w:hAnsi="Calibri"/>
                <w:color w:val="282828"/>
                <w:sz w:val="18"/>
              </w:rPr>
              <w:t>71.90%</w:t>
            </w:r>
          </w:p>
        </w:tc>
        <w:tc>
          <w:tcPr>
            <w:tcW w:type="dxa" w:w="2736"/>
            <w:shd w:fill="F9FAFC"/>
            <w:tcMar>
              <w:top w:w="80" w:type="dxa"/>
              <w:bottom w:w="80" w:type="dxa"/>
              <w:left w:w="120" w:type="dxa"/>
              <w:right w:w="120" w:type="dxa"/>
            </w:tcMar>
          </w:tcPr>
          <w:p>
            <w:pPr>
              <w:jc w:val="left"/>
            </w:pPr>
            <w:r>
              <w:rPr>
                <w:rFonts w:ascii="Calibri" w:hAnsi="Calibri"/>
                <w:color w:val="282828"/>
                <w:sz w:val="18"/>
              </w:rPr>
              <w:t>Competitive: Strong R²; higher percentage error</w:t>
            </w:r>
          </w:p>
        </w:tc>
      </w:tr>
      <w:tr>
        <w:tc>
          <w:tcPr>
            <w:tcW w:type="dxa" w:w="2592"/>
            <w:shd w:fill="FFFFFF"/>
            <w:tcMar>
              <w:top w:w="80" w:type="dxa"/>
              <w:bottom w:w="80" w:type="dxa"/>
              <w:left w:w="120" w:type="dxa"/>
              <w:right w:w="120" w:type="dxa"/>
            </w:tcMar>
          </w:tcPr>
          <w:p>
            <w:pPr>
              <w:jc w:val="left"/>
            </w:pPr>
            <w:r>
              <w:rPr>
                <w:rFonts w:ascii="Calibri" w:hAnsi="Calibri"/>
                <w:color w:val="282828"/>
                <w:sz w:val="18"/>
              </w:rPr>
              <w:t>Naive Mean Baseline</w:t>
            </w:r>
          </w:p>
        </w:tc>
        <w:tc>
          <w:tcPr>
            <w:tcW w:type="dxa" w:w="1296"/>
            <w:shd w:fill="FFFFFF"/>
            <w:tcMar>
              <w:top w:w="80" w:type="dxa"/>
              <w:bottom w:w="80" w:type="dxa"/>
              <w:left w:w="120" w:type="dxa"/>
              <w:right w:w="120" w:type="dxa"/>
            </w:tcMar>
          </w:tcPr>
          <w:p>
            <w:pPr>
              <w:jc w:val="right"/>
            </w:pPr>
            <w:r>
              <w:rPr>
                <w:rFonts w:ascii="Calibri" w:hAnsi="Calibri"/>
                <w:color w:val="282828"/>
                <w:sz w:val="18"/>
              </w:rPr>
              <w:t>2,495.09</w:t>
            </w:r>
          </w:p>
        </w:tc>
        <w:tc>
          <w:tcPr>
            <w:tcW w:type="dxa" w:w="1296"/>
            <w:shd w:fill="FFFFFF"/>
            <w:tcMar>
              <w:top w:w="80" w:type="dxa"/>
              <w:bottom w:w="80" w:type="dxa"/>
              <w:left w:w="120" w:type="dxa"/>
              <w:right w:w="120" w:type="dxa"/>
            </w:tcMar>
          </w:tcPr>
          <w:p>
            <w:pPr>
              <w:jc w:val="right"/>
            </w:pPr>
            <w:r>
              <w:rPr>
                <w:rFonts w:ascii="Calibri" w:hAnsi="Calibri"/>
                <w:color w:val="282828"/>
                <w:sz w:val="18"/>
              </w:rPr>
              <w:t>5,080.62</w:t>
            </w:r>
          </w:p>
        </w:tc>
        <w:tc>
          <w:tcPr>
            <w:tcW w:type="dxa" w:w="1152"/>
            <w:shd w:fill="FFFFFF"/>
            <w:tcMar>
              <w:top w:w="80" w:type="dxa"/>
              <w:bottom w:w="80" w:type="dxa"/>
              <w:left w:w="120" w:type="dxa"/>
              <w:right w:w="120" w:type="dxa"/>
            </w:tcMar>
          </w:tcPr>
          <w:p>
            <w:pPr>
              <w:jc w:val="right"/>
            </w:pPr>
            <w:r>
              <w:rPr>
                <w:rFonts w:ascii="Calibri" w:hAnsi="Calibri"/>
                <w:color w:val="282828"/>
                <w:sz w:val="18"/>
              </w:rPr>
              <w:t>0.9465</w:t>
            </w:r>
          </w:p>
        </w:tc>
        <w:tc>
          <w:tcPr>
            <w:tcW w:type="dxa" w:w="1152"/>
            <w:shd w:fill="FFFFFF"/>
            <w:tcMar>
              <w:top w:w="80" w:type="dxa"/>
              <w:bottom w:w="80" w:type="dxa"/>
              <w:left w:w="120" w:type="dxa"/>
              <w:right w:w="120" w:type="dxa"/>
            </w:tcMar>
          </w:tcPr>
          <w:p>
            <w:pPr>
              <w:jc w:val="right"/>
            </w:pPr>
            <w:r>
              <w:rPr>
                <w:rFonts w:ascii="Calibri" w:hAnsi="Calibri"/>
                <w:color w:val="282828"/>
                <w:sz w:val="18"/>
              </w:rPr>
              <w:t>39.77%</w:t>
            </w:r>
          </w:p>
        </w:tc>
        <w:tc>
          <w:tcPr>
            <w:tcW w:type="dxa" w:w="2736"/>
            <w:shd w:fill="FFFFFF"/>
            <w:tcMar>
              <w:top w:w="80" w:type="dxa"/>
              <w:bottom w:w="80" w:type="dxa"/>
              <w:left w:w="120" w:type="dxa"/>
              <w:right w:w="120" w:type="dxa"/>
            </w:tcMar>
          </w:tcPr>
          <w:p>
            <w:pPr>
              <w:jc w:val="left"/>
            </w:pPr>
            <w:r>
              <w:rPr>
                <w:rFonts w:ascii="Calibri" w:hAnsi="Calibri"/>
                <w:color w:val="282828"/>
                <w:sz w:val="18"/>
              </w:rPr>
              <w:t>Strong Heuristic: Confirms store-dept identity primacy</w:t>
            </w:r>
          </w:p>
        </w:tc>
      </w:tr>
      <w:tr>
        <w:tc>
          <w:tcPr>
            <w:tcW w:type="dxa" w:w="2592"/>
            <w:shd w:fill="F9FAFC"/>
            <w:tcMar>
              <w:top w:w="80" w:type="dxa"/>
              <w:bottom w:w="80" w:type="dxa"/>
              <w:left w:w="120" w:type="dxa"/>
              <w:right w:w="120" w:type="dxa"/>
            </w:tcMar>
          </w:tcPr>
          <w:p>
            <w:pPr>
              <w:jc w:val="left"/>
            </w:pPr>
            <w:r>
              <w:rPr>
                <w:rFonts w:ascii="Calibri" w:hAnsi="Calibri"/>
                <w:color w:val="282828"/>
                <w:sz w:val="18"/>
              </w:rPr>
              <w:t>HistGradientBoosting</w:t>
            </w:r>
          </w:p>
        </w:tc>
        <w:tc>
          <w:tcPr>
            <w:tcW w:type="dxa" w:w="1296"/>
            <w:shd w:fill="F9FAFC"/>
            <w:tcMar>
              <w:top w:w="80" w:type="dxa"/>
              <w:bottom w:w="80" w:type="dxa"/>
              <w:left w:w="120" w:type="dxa"/>
              <w:right w:w="120" w:type="dxa"/>
            </w:tcMar>
          </w:tcPr>
          <w:p>
            <w:pPr>
              <w:jc w:val="right"/>
            </w:pPr>
            <w:r>
              <w:rPr>
                <w:rFonts w:ascii="Calibri" w:hAnsi="Calibri"/>
                <w:color w:val="282828"/>
                <w:sz w:val="18"/>
              </w:rPr>
              <w:t>3,516.35</w:t>
            </w:r>
          </w:p>
        </w:tc>
        <w:tc>
          <w:tcPr>
            <w:tcW w:type="dxa" w:w="1296"/>
            <w:shd w:fill="F9FAFC"/>
            <w:tcMar>
              <w:top w:w="80" w:type="dxa"/>
              <w:bottom w:w="80" w:type="dxa"/>
              <w:left w:w="120" w:type="dxa"/>
              <w:right w:w="120" w:type="dxa"/>
            </w:tcMar>
          </w:tcPr>
          <w:p>
            <w:pPr>
              <w:jc w:val="right"/>
            </w:pPr>
            <w:r>
              <w:rPr>
                <w:rFonts w:ascii="Calibri" w:hAnsi="Calibri"/>
                <w:color w:val="282828"/>
                <w:sz w:val="18"/>
              </w:rPr>
              <w:t>5,859.75</w:t>
            </w:r>
          </w:p>
        </w:tc>
        <w:tc>
          <w:tcPr>
            <w:tcW w:type="dxa" w:w="1152"/>
            <w:shd w:fill="F9FAFC"/>
            <w:tcMar>
              <w:top w:w="80" w:type="dxa"/>
              <w:bottom w:w="80" w:type="dxa"/>
              <w:left w:w="120" w:type="dxa"/>
              <w:right w:w="120" w:type="dxa"/>
            </w:tcMar>
          </w:tcPr>
          <w:p>
            <w:pPr>
              <w:jc w:val="right"/>
            </w:pPr>
            <w:r>
              <w:rPr>
                <w:rFonts w:ascii="Calibri" w:hAnsi="Calibri"/>
                <w:color w:val="282828"/>
                <w:sz w:val="18"/>
              </w:rPr>
              <w:t>0.9288</w:t>
            </w:r>
          </w:p>
        </w:tc>
        <w:tc>
          <w:tcPr>
            <w:tcW w:type="dxa" w:w="1152"/>
            <w:shd w:fill="F9FAFC"/>
            <w:tcMar>
              <w:top w:w="80" w:type="dxa"/>
              <w:bottom w:w="80" w:type="dxa"/>
              <w:left w:w="120" w:type="dxa"/>
              <w:right w:w="120" w:type="dxa"/>
            </w:tcMar>
          </w:tcPr>
          <w:p>
            <w:pPr>
              <w:jc w:val="right"/>
            </w:pPr>
            <w:r>
              <w:rPr>
                <w:rFonts w:ascii="Calibri" w:hAnsi="Calibri"/>
                <w:color w:val="282828"/>
                <w:sz w:val="18"/>
              </w:rPr>
              <w:t>105.55%</w:t>
            </w:r>
          </w:p>
        </w:tc>
        <w:tc>
          <w:tcPr>
            <w:tcW w:type="dxa" w:w="2736"/>
            <w:shd w:fill="F9FAFC"/>
            <w:tcMar>
              <w:top w:w="80" w:type="dxa"/>
              <w:bottom w:w="80" w:type="dxa"/>
              <w:left w:w="120" w:type="dxa"/>
              <w:right w:w="120" w:type="dxa"/>
            </w:tcMar>
          </w:tcPr>
          <w:p>
            <w:pPr>
              <w:jc w:val="left"/>
            </w:pPr>
            <w:r>
              <w:rPr>
                <w:rFonts w:ascii="Calibri" w:hAnsi="Calibri"/>
                <w:color w:val="282828"/>
                <w:sz w:val="18"/>
              </w:rPr>
              <w:t>Moderate: Binned splits suboptimal on high cardinality</w:t>
            </w:r>
          </w:p>
        </w:tc>
      </w:tr>
      <w:tr>
        <w:tc>
          <w:tcPr>
            <w:tcW w:type="dxa" w:w="2592"/>
            <w:shd w:fill="FFFFFF"/>
            <w:tcMar>
              <w:top w:w="80" w:type="dxa"/>
              <w:bottom w:w="80" w:type="dxa"/>
              <w:left w:w="120" w:type="dxa"/>
              <w:right w:w="120" w:type="dxa"/>
            </w:tcMar>
          </w:tcPr>
          <w:p>
            <w:pPr>
              <w:jc w:val="left"/>
            </w:pPr>
            <w:r>
              <w:rPr>
                <w:rFonts w:ascii="Calibri" w:hAnsi="Calibri"/>
                <w:color w:val="282828"/>
                <w:sz w:val="18"/>
              </w:rPr>
              <w:t>Linear Regression</w:t>
            </w:r>
          </w:p>
        </w:tc>
        <w:tc>
          <w:tcPr>
            <w:tcW w:type="dxa" w:w="1296"/>
            <w:shd w:fill="FFFFFF"/>
            <w:tcMar>
              <w:top w:w="80" w:type="dxa"/>
              <w:bottom w:w="80" w:type="dxa"/>
              <w:left w:w="120" w:type="dxa"/>
              <w:right w:w="120" w:type="dxa"/>
            </w:tcMar>
          </w:tcPr>
          <w:p>
            <w:pPr>
              <w:jc w:val="right"/>
            </w:pPr>
            <w:r>
              <w:rPr>
                <w:rFonts w:ascii="Calibri" w:hAnsi="Calibri"/>
                <w:color w:val="282828"/>
                <w:sz w:val="18"/>
              </w:rPr>
              <w:t>14,639.81</w:t>
            </w:r>
          </w:p>
        </w:tc>
        <w:tc>
          <w:tcPr>
            <w:tcW w:type="dxa" w:w="1296"/>
            <w:shd w:fill="FFFFFF"/>
            <w:tcMar>
              <w:top w:w="80" w:type="dxa"/>
              <w:bottom w:w="80" w:type="dxa"/>
              <w:left w:w="120" w:type="dxa"/>
              <w:right w:w="120" w:type="dxa"/>
            </w:tcMar>
          </w:tcPr>
          <w:p>
            <w:pPr>
              <w:jc w:val="right"/>
            </w:pPr>
            <w:r>
              <w:rPr>
                <w:rFonts w:ascii="Calibri" w:hAnsi="Calibri"/>
                <w:color w:val="282828"/>
                <w:sz w:val="18"/>
              </w:rPr>
              <w:t>20,963.37</w:t>
            </w:r>
          </w:p>
        </w:tc>
        <w:tc>
          <w:tcPr>
            <w:tcW w:type="dxa" w:w="1152"/>
            <w:shd w:fill="FFFFFF"/>
            <w:tcMar>
              <w:top w:w="80" w:type="dxa"/>
              <w:bottom w:w="80" w:type="dxa"/>
              <w:left w:w="120" w:type="dxa"/>
              <w:right w:w="120" w:type="dxa"/>
            </w:tcMar>
          </w:tcPr>
          <w:p>
            <w:pPr>
              <w:jc w:val="right"/>
            </w:pPr>
            <w:r>
              <w:rPr>
                <w:rFonts w:ascii="Calibri" w:hAnsi="Calibri"/>
                <w:color w:val="282828"/>
                <w:sz w:val="18"/>
              </w:rPr>
              <w:t>0.0893</w:t>
            </w:r>
          </w:p>
        </w:tc>
        <w:tc>
          <w:tcPr>
            <w:tcW w:type="dxa" w:w="1152"/>
            <w:shd w:fill="FFFFFF"/>
            <w:tcMar>
              <w:top w:w="80" w:type="dxa"/>
              <w:bottom w:w="80" w:type="dxa"/>
              <w:left w:w="120" w:type="dxa"/>
              <w:right w:w="120" w:type="dxa"/>
            </w:tcMar>
          </w:tcPr>
          <w:p>
            <w:pPr>
              <w:jc w:val="right"/>
            </w:pPr>
            <w:r>
              <w:rPr>
                <w:rFonts w:ascii="Calibri" w:hAnsi="Calibri"/>
                <w:color w:val="282828"/>
                <w:sz w:val="18"/>
              </w:rPr>
              <w:t>711.36%</w:t>
            </w:r>
          </w:p>
        </w:tc>
        <w:tc>
          <w:tcPr>
            <w:tcW w:type="dxa" w:w="2736"/>
            <w:shd w:fill="FFFFFF"/>
            <w:tcMar>
              <w:top w:w="80" w:type="dxa"/>
              <w:bottom w:w="80" w:type="dxa"/>
              <w:left w:w="120" w:type="dxa"/>
              <w:right w:w="120" w:type="dxa"/>
            </w:tcMar>
          </w:tcPr>
          <w:p>
            <w:pPr>
              <w:jc w:val="left"/>
            </w:pPr>
            <w:r>
              <w:rPr>
                <w:rFonts w:ascii="Calibri" w:hAnsi="Calibri"/>
                <w:color w:val="282828"/>
                <w:sz w:val="18"/>
              </w:rPr>
              <w:t>FAILED: Severe underfitting; non-linearities ignored</w:t>
            </w:r>
          </w:p>
        </w:tc>
      </w:tr>
    </w:tbl>
    <w:p>
      <w:pPr>
        <w:spacing w:after="240" w:before="80" w:line="276" w:lineRule="auto"/>
        <w:jc w:val="center"/>
      </w:pPr>
      <w:r>
        <w:rPr>
          <w:rFonts w:ascii="Calibri" w:hAnsi="Calibri"/>
          <w:color w:val="282828"/>
          <w:sz w:val="22"/>
        </w:rPr>
        <w:t>Table 12.1: Comprehensive Machine Learning Validation Performance</w:t>
      </w:r>
    </w:p>
    <w:p>
      <w:pPr>
        <w:keepNext/>
        <w:spacing w:before="200" w:after="80"/>
        <w:jc w:val="center"/>
      </w:pPr>
      <w:r>
        <w:drawing>
          <wp:inline xmlns:a="http://schemas.openxmlformats.org/drawingml/2006/main" xmlns:pic="http://schemas.openxmlformats.org/drawingml/2006/picture">
            <wp:extent cx="5303520" cy="1637885"/>
            <wp:docPr id="11" name="Picture 11"/>
            <wp:cNvGraphicFramePr>
              <a:graphicFrameLocks noChangeAspect="1"/>
            </wp:cNvGraphicFramePr>
            <a:graphic>
              <a:graphicData uri="http://schemas.openxmlformats.org/drawingml/2006/picture">
                <pic:pic>
                  <pic:nvPicPr>
                    <pic:cNvPr id="0" name="model_comparison.png"/>
                    <pic:cNvPicPr/>
                  </pic:nvPicPr>
                  <pic:blipFill>
                    <a:blip r:embed="rId21"/>
                    <a:stretch>
                      <a:fillRect/>
                    </a:stretch>
                  </pic:blipFill>
                  <pic:spPr>
                    <a:xfrm>
                      <a:off x="0" y="0"/>
                      <a:ext cx="5303520" cy="1637885"/>
                    </a:xfrm>
                    <a:prstGeom prst="rect"/>
                  </pic:spPr>
                </pic:pic>
              </a:graphicData>
            </a:graphic>
          </wp:inline>
        </w:drawing>
      </w:r>
    </w:p>
    <w:p>
      <w:pPr>
        <w:keepNext/>
        <w:spacing w:before="40" w:after="120"/>
        <w:jc w:val="center"/>
      </w:pPr>
      <w:r>
        <w:rPr>
          <w:rFonts w:ascii="Calibri" w:hAnsi="Calibri"/>
          <w:b/>
          <w:i/>
          <w:color w:val="1F4E79"/>
          <w:sz w:val="19"/>
        </w:rPr>
        <w:t>Figure 12.1: Model Performance Comparison Across Evaluation Metrics</w:t>
      </w:r>
    </w:p>
    <w:p>
      <w:pPr>
        <w:spacing w:after="160" w:before="40" w:line="276" w:lineRule="auto"/>
        <w:jc w:val="both"/>
      </w:pPr>
      <w:r>
        <w:rPr>
          <w:rFonts w:ascii="Calibri" w:hAnsi="Calibri"/>
          <w:color w:val="282828"/>
          <w:sz w:val="22"/>
        </w:rPr>
        <w:t>Figure 12.1 visually compares MAE, RMSE, and R² across all 5 candidates. Random Forest achieves the lowest error bars in both MAE ($2,075.79) and RMSE ($4,005.37) while reaching the highest R² (0.9668). XGBoost places a close second (RMSE $4,261.48), whereas Linear Regression collapses with an RMSE of $20,963.37 and R² of 0.0893.</w:t>
      </w:r>
    </w:p>
    <w:p>
      <w:pPr>
        <w:keepNext/>
        <w:spacing w:before="360" w:after="160"/>
      </w:pPr>
      <w:r>
        <w:rPr>
          <w:rFonts w:ascii="Calibri" w:hAnsi="Calibri"/>
          <w:b/>
          <w:color w:val="1F4E79"/>
          <w:sz w:val="32"/>
        </w:rPr>
        <w:t>13. FINAL MODEL SELECTION AND TEST PREDICTION</w:t>
      </w:r>
    </w:p>
    <w:p>
      <w:pPr>
        <w:spacing w:after="120" w:before="0" w:line="276" w:lineRule="auto"/>
        <w:jc w:val="both"/>
      </w:pPr>
      <w:r>
        <w:rPr>
          <w:rFonts w:ascii="Calibri" w:hAnsi="Calibri"/>
          <w:color w:val="282828"/>
          <w:sz w:val="22"/>
        </w:rPr>
        <w:t>The **Random Forest Regressor** was programmatically chosen as the final operational model based strictly on its minimum validation RMSE of **$4,005.37** and MAE of **$2,075.79**, explaining **96.68%** of target variance. The winning model was retrained on the full historical dataset (February 2010 to October 2012) and serialized as models/final_model.pkl alongside its feature metadata models/feature_columns.pkl.</w:t>
      </w:r>
    </w:p>
    <w:p>
      <w:pPr>
        <w:spacing w:after="120" w:before="0" w:line="276" w:lineRule="auto"/>
        <w:jc w:val="both"/>
      </w:pPr>
      <w:r>
        <w:rPr>
          <w:rFonts w:ascii="Calibri" w:hAnsi="Calibri"/>
          <w:color w:val="282828"/>
          <w:sz w:val="22"/>
        </w:rPr>
        <w:t>The finalized model was deployed across test.csv to generate blind sales forecasts for all 115,064 records spanning November 2, 2012 through July 26, 2013. Two complete deliverables were outputted:</w:t>
      </w:r>
    </w:p>
    <w:p>
      <w:pPr>
        <w:pStyle w:val="ListBullet"/>
        <w:spacing w:after="80" w:line="276" w:lineRule="auto"/>
      </w:pPr>
      <w:r>
        <w:rPr>
          <w:rFonts w:ascii="Calibri" w:hAnsi="Calibri"/>
          <w:b/>
          <w:color w:val="282828"/>
          <w:sz w:val="21"/>
        </w:rPr>
        <w:t xml:space="preserve">Walmart_Sales_Predictions.csv: </w:t>
      </w:r>
      <w:r>
        <w:rPr>
          <w:rFonts w:ascii="Calibri" w:hAnsi="Calibri"/>
          <w:color w:val="282828"/>
          <w:sz w:val="21"/>
        </w:rPr>
        <w:t>Complete 4-column relational table [Store, Dept, Date, Weekly_Sales] saved in outputs/predictions/ for database ingestion and dashboard integration.</w:t>
      </w:r>
    </w:p>
    <w:p>
      <w:pPr>
        <w:pStyle w:val="ListBullet"/>
        <w:spacing w:after="80" w:line="276" w:lineRule="auto"/>
      </w:pPr>
      <w:r>
        <w:rPr>
          <w:rFonts w:ascii="Calibri" w:hAnsi="Calibri"/>
          <w:b/>
          <w:color w:val="282828"/>
          <w:sz w:val="21"/>
        </w:rPr>
        <w:t xml:space="preserve">walmart_submission.csv: </w:t>
      </w:r>
      <w:r>
        <w:rPr>
          <w:rFonts w:ascii="Calibri" w:hAnsi="Calibri"/>
          <w:color w:val="282828"/>
          <w:sz w:val="21"/>
        </w:rPr>
        <w:t>Standardized 2-column format [Id, Weekly_Sales] (e.g., '1_1_2012-11-02', 15432.50) compliant with Kaggle submission specifications.</w:t>
      </w:r>
    </w:p>
    <w:p>
      <w:r>
        <w:br w:type="page"/>
      </w:r>
    </w:p>
    <w:p>
      <w:pPr>
        <w:keepNext/>
        <w:spacing w:before="360" w:after="160"/>
      </w:pPr>
      <w:r>
        <w:rPr>
          <w:rFonts w:ascii="Calibri" w:hAnsi="Calibri"/>
          <w:b/>
          <w:color w:val="1F4E79"/>
          <w:sz w:val="32"/>
        </w:rPr>
        <w:t>14. ACTIONABLE BUSINESS INSIGHTS</w:t>
      </w:r>
    </w:p>
    <w:p>
      <w:pPr>
        <w:spacing w:after="120" w:before="0" w:line="276" w:lineRule="auto"/>
        <w:jc w:val="both"/>
      </w:pPr>
      <w:r>
        <w:rPr>
          <w:rFonts w:ascii="Calibri" w:hAnsi="Calibri"/>
          <w:color w:val="282828"/>
          <w:sz w:val="22"/>
        </w:rPr>
        <w:t>A primary objective of this internship was translating statistical observations into pragmatic operational strategies for retail leadership. To maintain analytical integrity, correlations are clearly distinguished from causation:</w:t>
      </w:r>
    </w:p>
    <w:p>
      <w:pPr>
        <w:keepNext/>
        <w:spacing w:before="240" w:after="100"/>
      </w:pPr>
      <w:r>
        <w:rPr>
          <w:rFonts w:ascii="Calibri" w:hAnsi="Calibri"/>
          <w:b/>
          <w:color w:val="2E5597"/>
          <w:sz w:val="26"/>
        </w:rPr>
        <w:t>14.1 Inventory Allocation by Departmental Velocity</w:t>
      </w:r>
    </w:p>
    <w:p>
      <w:pPr>
        <w:spacing w:after="120" w:before="0" w:line="276" w:lineRule="auto"/>
        <w:jc w:val="both"/>
      </w:pPr>
      <w:r>
        <w:rPr>
          <w:rFonts w:ascii="Calibri" w:hAnsi="Calibri"/>
          <w:color w:val="282828"/>
          <w:sz w:val="22"/>
        </w:rPr>
        <w:t>Analysis proved that Department identity drives 64.7% of predictive importance. Departments 92 and 95 generate over $933M in combined historical sales across 45 stores. Supply chain directors must prioritize inventory availability and replenishment frequency for these top 10 departments, ensuring high safety stocks to prevent costly stockouts.</w:t>
      </w:r>
    </w:p>
    <w:p>
      <w:pPr>
        <w:keepNext/>
        <w:spacing w:before="240" w:after="100"/>
      </w:pPr>
      <w:r>
        <w:rPr>
          <w:rFonts w:ascii="Calibri" w:hAnsi="Calibri"/>
          <w:b/>
          <w:color w:val="2E5597"/>
          <w:sz w:val="26"/>
        </w:rPr>
        <w:t>14.2 Holiday Inventory and Staffing Multipliers</w:t>
      </w:r>
    </w:p>
    <w:p>
      <w:pPr>
        <w:spacing w:after="120" w:before="0" w:line="276" w:lineRule="auto"/>
        <w:jc w:val="both"/>
      </w:pPr>
      <w:r>
        <w:rPr>
          <w:rFonts w:ascii="Calibri" w:hAnsi="Calibri"/>
          <w:color w:val="282828"/>
          <w:sz w:val="22"/>
        </w:rPr>
        <w:t>Holiday weeks produce an aggregate 7.14% higher sales volume ($17,036 vs $15,901). However, Thanksgiving (Week 47) and pre-Christmas (Week 51) generate extreme localized surges of +40% to +85% across specific gift and grocery categories. Store managers should implement temporary holiday workforce schedules 3 weeks prior and establish dedicated stocking protocols to capitalize on this compressed Q4 revenue window.</w:t>
      </w:r>
    </w:p>
    <w:p>
      <w:pPr>
        <w:keepNext/>
        <w:spacing w:before="240" w:after="100"/>
      </w:pPr>
      <w:r>
        <w:rPr>
          <w:rFonts w:ascii="Calibri" w:hAnsi="Calibri"/>
          <w:b/>
          <w:color w:val="2E5597"/>
          <w:sz w:val="26"/>
        </w:rPr>
        <w:t>14.3 Store Footprint and Merchandising Tiering</w:t>
      </w:r>
    </w:p>
    <w:p>
      <w:pPr>
        <w:spacing w:after="120" w:before="0" w:line="276" w:lineRule="auto"/>
        <w:jc w:val="both"/>
      </w:pPr>
      <w:r>
        <w:rPr>
          <w:rFonts w:ascii="Calibri" w:hAnsi="Calibri"/>
          <w:color w:val="282828"/>
          <w:sz w:val="22"/>
        </w:rPr>
        <w:t>Store physical square footage exhibits a powerful correlation (r = 0.79) with weekly sales. Type A supercenters (&gt;150,000 sq ft) generate nearly double the average volume of Type C stores ($20,098 vs $9,519 per department-week). Merchandising strategies should be tiered: Type A stores should carry wide general merchandise variety, while Type C stores should focus exclusively on high-turnover essential consumables.</w:t>
      </w:r>
    </w:p>
    <w:p>
      <w:pPr>
        <w:keepNext/>
        <w:spacing w:before="240" w:after="100"/>
      </w:pPr>
      <w:r>
        <w:rPr>
          <w:rFonts w:ascii="Calibri" w:hAnsi="Calibri"/>
          <w:b/>
          <w:color w:val="2E5597"/>
          <w:sz w:val="26"/>
        </w:rPr>
        <w:t>14.4 Strategic Evaluation of Promotional Markdowns</w:t>
      </w:r>
    </w:p>
    <w:p>
      <w:pPr>
        <w:spacing w:after="120" w:before="0" w:line="276" w:lineRule="auto"/>
        <w:jc w:val="both"/>
      </w:pPr>
      <w:r>
        <w:rPr>
          <w:rFonts w:ascii="Calibri" w:hAnsi="Calibri"/>
          <w:color w:val="282828"/>
          <w:sz w:val="22"/>
        </w:rPr>
        <w:t>Weeks featuring active promotional markdowns demonstrated an average sales lift of +1.9%. While markdowns prevent aging inventory buildup, their modest aggregate lift suggests that blanket price discounts erode gross margins without proportionately expanding basket size. Retailers should transition toward targeted, department-specific promotions.</w:t>
      </w:r>
    </w:p>
    <w:p>
      <w:pPr>
        <w:keepNext/>
        <w:spacing w:before="360" w:after="160"/>
      </w:pPr>
      <w:r>
        <w:rPr>
          <w:rFonts w:ascii="Calibri" w:hAnsi="Calibri"/>
          <w:b/>
          <w:color w:val="1F4E79"/>
          <w:sz w:val="32"/>
        </w:rPr>
        <w:t>15. SYSTEM ARCHITECTURE AND WORKFLOW</w:t>
      </w:r>
    </w:p>
    <w:p>
      <w:pPr>
        <w:spacing w:after="120" w:before="0" w:line="276" w:lineRule="auto"/>
        <w:jc w:val="both"/>
      </w:pPr>
      <w:r>
        <w:rPr>
          <w:rFonts w:ascii="Calibri" w:hAnsi="Calibri"/>
          <w:color w:val="282828"/>
          <w:sz w:val="22"/>
        </w:rPr>
        <w:t>The end-to-end predictive analytics pipeline was architected into a modular, production-grade structure:</w:t>
      </w:r>
    </w:p>
    <w:p>
      <w:pPr>
        <w:spacing w:after="120" w:before="0" w:line="276" w:lineRule="auto"/>
        <w:jc w:val="both"/>
      </w:pPr>
      <w:r>
        <w:rPr>
          <w:rFonts w:ascii="Calibri" w:hAnsi="Calibri"/>
          <w:color w:val="282828"/>
          <w:sz w:val="22"/>
        </w:rPr>
        <w:t>Data Ingestion (train, test, features, stores) -&gt; Data Preprocessing &amp; Cleaning (src/data_preprocessing.py) -&gt; Feature Engineering &amp; Extraction (src/feature_engineering.py) -&gt; Time-Based Train/Validation Split (2012-07-01 Cut-off) -&gt; Model Training &amp; Tuning (src/train.py) -&gt; Model Benchmarking &amp; Evaluation (src/evaluate.py) -&gt; Final Model Serialization (models/final_model.pkl) -&gt; Batch Inference Generation (src/predict.py) -&gt; User Interface &amp; Decision Support (app/app.py).</w:t>
      </w:r>
    </w:p>
    <w:p>
      <w:pPr>
        <w:keepNext/>
        <w:spacing w:before="360" w:after="160"/>
      </w:pPr>
      <w:r>
        <w:rPr>
          <w:rFonts w:ascii="Calibri" w:hAnsi="Calibri"/>
          <w:b/>
          <w:color w:val="1F4E79"/>
          <w:sz w:val="32"/>
        </w:rPr>
        <w:t>16. IMPLEMENTATION DETAILS AND TECHNOLOGY STACK</w:t>
      </w:r>
    </w:p>
    <w:p>
      <w:pPr>
        <w:spacing w:after="120" w:before="0" w:line="276" w:lineRule="auto"/>
        <w:jc w:val="both"/>
      </w:pPr>
      <w:r>
        <w:rPr>
          <w:rFonts w:ascii="Calibri" w:hAnsi="Calibri"/>
          <w:color w:val="282828"/>
          <w:sz w:val="22"/>
        </w:rPr>
        <w:t>The project was implemented in Python 3.14 using standard, industry-standard data science libraries. Table 16.1 outlines the technology stack and functional responsibilities: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20"/>
        <w:gridCol w:w="3120"/>
        <w:gridCol w:w="3120"/>
      </w:tblGrid>
      <w:tr>
        <w:tc>
          <w:tcPr>
            <w:tcW w:type="dxa" w:w="2592"/>
            <w:shd w:fill="1F4E79"/>
            <w:tcMar>
              <w:top w:w="120" w:type="dxa"/>
              <w:bottom w:w="120" w:type="dxa"/>
              <w:left w:w="150" w:type="dxa"/>
              <w:right w:w="150" w:type="dxa"/>
            </w:tcMar>
          </w:tcPr>
          <w:p>
            <w:pPr>
              <w:jc w:val="center"/>
            </w:pPr>
            <w:r>
              <w:rPr>
                <w:rFonts w:ascii="Calibri" w:hAnsi="Calibri"/>
                <w:b/>
                <w:color w:val="FFFFFF"/>
                <w:sz w:val="19"/>
              </w:rPr>
              <w:t>Technology / Library</w:t>
            </w:r>
          </w:p>
        </w:tc>
        <w:tc>
          <w:tcPr>
            <w:tcW w:type="dxa" w:w="1728"/>
            <w:shd w:fill="1F4E79"/>
            <w:tcMar>
              <w:top w:w="120" w:type="dxa"/>
              <w:bottom w:w="120" w:type="dxa"/>
              <w:left w:w="150" w:type="dxa"/>
              <w:right w:w="150" w:type="dxa"/>
            </w:tcMar>
          </w:tcPr>
          <w:p>
            <w:pPr>
              <w:jc w:val="center"/>
            </w:pPr>
            <w:r>
              <w:rPr>
                <w:rFonts w:ascii="Calibri" w:hAnsi="Calibri"/>
                <w:b/>
                <w:color w:val="FFFFFF"/>
                <w:sz w:val="19"/>
              </w:rPr>
              <w:t>Version</w:t>
            </w:r>
          </w:p>
        </w:tc>
        <w:tc>
          <w:tcPr>
            <w:tcW w:type="dxa" w:w="4608"/>
            <w:shd w:fill="1F4E79"/>
            <w:tcMar>
              <w:top w:w="120" w:type="dxa"/>
              <w:bottom w:w="120" w:type="dxa"/>
              <w:left w:w="150" w:type="dxa"/>
              <w:right w:w="150" w:type="dxa"/>
            </w:tcMar>
          </w:tcPr>
          <w:p>
            <w:pPr>
              <w:jc w:val="center"/>
            </w:pPr>
            <w:r>
              <w:rPr>
                <w:rFonts w:ascii="Calibri" w:hAnsi="Calibri"/>
                <w:b/>
                <w:color w:val="FFFFFF"/>
                <w:sz w:val="19"/>
              </w:rPr>
              <w:t>Operational Role in System Architecture</w:t>
            </w:r>
          </w:p>
        </w:tc>
      </w:tr>
      <w:tr>
        <w:tc>
          <w:tcPr>
            <w:tcW w:type="dxa" w:w="2592"/>
            <w:shd w:fill="FFFFFF"/>
            <w:tcMar>
              <w:top w:w="80" w:type="dxa"/>
              <w:bottom w:w="80" w:type="dxa"/>
              <w:left w:w="120" w:type="dxa"/>
              <w:right w:w="120" w:type="dxa"/>
            </w:tcMar>
          </w:tcPr>
          <w:p>
            <w:pPr>
              <w:jc w:val="left"/>
            </w:pPr>
            <w:r>
              <w:rPr>
                <w:rFonts w:ascii="Calibri" w:hAnsi="Calibri"/>
                <w:color w:val="282828"/>
                <w:sz w:val="18"/>
              </w:rPr>
              <w:t>Python</w:t>
            </w:r>
          </w:p>
        </w:tc>
        <w:tc>
          <w:tcPr>
            <w:tcW w:type="dxa" w:w="1728"/>
            <w:shd w:fill="FFFFFF"/>
            <w:tcMar>
              <w:top w:w="80" w:type="dxa"/>
              <w:bottom w:w="80" w:type="dxa"/>
              <w:left w:w="120" w:type="dxa"/>
              <w:right w:w="120" w:type="dxa"/>
            </w:tcMar>
          </w:tcPr>
          <w:p>
            <w:pPr>
              <w:jc w:val="left"/>
            </w:pPr>
            <w:r>
              <w:rPr>
                <w:rFonts w:ascii="Calibri" w:hAnsi="Calibri"/>
                <w:color w:val="282828"/>
                <w:sz w:val="18"/>
              </w:rPr>
              <w:t>3.14.3</w:t>
            </w:r>
          </w:p>
        </w:tc>
        <w:tc>
          <w:tcPr>
            <w:tcW w:type="dxa" w:w="4608"/>
            <w:shd w:fill="FFFFFF"/>
            <w:tcMar>
              <w:top w:w="80" w:type="dxa"/>
              <w:bottom w:w="80" w:type="dxa"/>
              <w:left w:w="120" w:type="dxa"/>
              <w:right w:w="120" w:type="dxa"/>
            </w:tcMar>
          </w:tcPr>
          <w:p>
            <w:pPr>
              <w:jc w:val="left"/>
            </w:pPr>
            <w:r>
              <w:rPr>
                <w:rFonts w:ascii="Calibri" w:hAnsi="Calibri"/>
                <w:color w:val="282828"/>
                <w:sz w:val="18"/>
              </w:rPr>
              <w:t>Core programming runtime and script orchestration</w:t>
            </w:r>
          </w:p>
        </w:tc>
      </w:tr>
      <w:tr>
        <w:tc>
          <w:tcPr>
            <w:tcW w:type="dxa" w:w="2592"/>
            <w:shd w:fill="F9FAFC"/>
            <w:tcMar>
              <w:top w:w="80" w:type="dxa"/>
              <w:bottom w:w="80" w:type="dxa"/>
              <w:left w:w="120" w:type="dxa"/>
              <w:right w:w="120" w:type="dxa"/>
            </w:tcMar>
          </w:tcPr>
          <w:p>
            <w:pPr>
              <w:jc w:val="left"/>
            </w:pPr>
            <w:r>
              <w:rPr>
                <w:rFonts w:ascii="Calibri" w:hAnsi="Calibri"/>
                <w:color w:val="282828"/>
                <w:sz w:val="18"/>
              </w:rPr>
              <w:t>Pandas</w:t>
            </w:r>
          </w:p>
        </w:tc>
        <w:tc>
          <w:tcPr>
            <w:tcW w:type="dxa" w:w="1728"/>
            <w:shd w:fill="F9FAFC"/>
            <w:tcMar>
              <w:top w:w="80" w:type="dxa"/>
              <w:bottom w:w="80" w:type="dxa"/>
              <w:left w:w="120" w:type="dxa"/>
              <w:right w:w="120" w:type="dxa"/>
            </w:tcMar>
          </w:tcPr>
          <w:p>
            <w:pPr>
              <w:jc w:val="left"/>
            </w:pPr>
            <w:r>
              <w:rPr>
                <w:rFonts w:ascii="Calibri" w:hAnsi="Calibri"/>
                <w:color w:val="282828"/>
                <w:sz w:val="18"/>
              </w:rPr>
              <w:t>&gt;= 2.0.0</w:t>
            </w:r>
          </w:p>
        </w:tc>
        <w:tc>
          <w:tcPr>
            <w:tcW w:type="dxa" w:w="4608"/>
            <w:shd w:fill="F9FAFC"/>
            <w:tcMar>
              <w:top w:w="80" w:type="dxa"/>
              <w:bottom w:w="80" w:type="dxa"/>
              <w:left w:w="120" w:type="dxa"/>
              <w:right w:w="120" w:type="dxa"/>
            </w:tcMar>
          </w:tcPr>
          <w:p>
            <w:pPr>
              <w:jc w:val="left"/>
            </w:pPr>
            <w:r>
              <w:rPr>
                <w:rFonts w:ascii="Calibri" w:hAnsi="Calibri"/>
                <w:color w:val="282828"/>
                <w:sz w:val="18"/>
              </w:rPr>
              <w:t>Data manipulation, relational merging, missing value imputation, and grouping</w:t>
            </w:r>
          </w:p>
        </w:tc>
      </w:tr>
      <w:tr>
        <w:tc>
          <w:tcPr>
            <w:tcW w:type="dxa" w:w="2592"/>
            <w:shd w:fill="FFFFFF"/>
            <w:tcMar>
              <w:top w:w="80" w:type="dxa"/>
              <w:bottom w:w="80" w:type="dxa"/>
              <w:left w:w="120" w:type="dxa"/>
              <w:right w:w="120" w:type="dxa"/>
            </w:tcMar>
          </w:tcPr>
          <w:p>
            <w:pPr>
              <w:jc w:val="left"/>
            </w:pPr>
            <w:r>
              <w:rPr>
                <w:rFonts w:ascii="Calibri" w:hAnsi="Calibri"/>
                <w:color w:val="282828"/>
                <w:sz w:val="18"/>
              </w:rPr>
              <w:t>NumPy</w:t>
            </w:r>
          </w:p>
        </w:tc>
        <w:tc>
          <w:tcPr>
            <w:tcW w:type="dxa" w:w="1728"/>
            <w:shd w:fill="FFFFFF"/>
            <w:tcMar>
              <w:top w:w="80" w:type="dxa"/>
              <w:bottom w:w="80" w:type="dxa"/>
              <w:left w:w="120" w:type="dxa"/>
              <w:right w:w="120" w:type="dxa"/>
            </w:tcMar>
          </w:tcPr>
          <w:p>
            <w:pPr>
              <w:jc w:val="left"/>
            </w:pPr>
            <w:r>
              <w:rPr>
                <w:rFonts w:ascii="Calibri" w:hAnsi="Calibri"/>
                <w:color w:val="282828"/>
                <w:sz w:val="18"/>
              </w:rPr>
              <w:t>&gt;= 1.24.0</w:t>
            </w:r>
          </w:p>
        </w:tc>
        <w:tc>
          <w:tcPr>
            <w:tcW w:type="dxa" w:w="4608"/>
            <w:shd w:fill="FFFFFF"/>
            <w:tcMar>
              <w:top w:w="80" w:type="dxa"/>
              <w:bottom w:w="80" w:type="dxa"/>
              <w:left w:w="120" w:type="dxa"/>
              <w:right w:w="120" w:type="dxa"/>
            </w:tcMar>
          </w:tcPr>
          <w:p>
            <w:pPr>
              <w:jc w:val="left"/>
            </w:pPr>
            <w:r>
              <w:rPr>
                <w:rFonts w:ascii="Calibri" w:hAnsi="Calibri"/>
                <w:color w:val="282828"/>
                <w:sz w:val="18"/>
              </w:rPr>
              <w:t>High-performance vector mathematics, numerical transformations, and array operations</w:t>
            </w:r>
          </w:p>
        </w:tc>
      </w:tr>
      <w:tr>
        <w:tc>
          <w:tcPr>
            <w:tcW w:type="dxa" w:w="2592"/>
            <w:shd w:fill="F9FAFC"/>
            <w:tcMar>
              <w:top w:w="80" w:type="dxa"/>
              <w:bottom w:w="80" w:type="dxa"/>
              <w:left w:w="120" w:type="dxa"/>
              <w:right w:w="120" w:type="dxa"/>
            </w:tcMar>
          </w:tcPr>
          <w:p>
            <w:pPr>
              <w:jc w:val="left"/>
            </w:pPr>
            <w:r>
              <w:rPr>
                <w:rFonts w:ascii="Calibri" w:hAnsi="Calibri"/>
                <w:color w:val="282828"/>
                <w:sz w:val="18"/>
              </w:rPr>
              <w:t>Scikit-Learn</w:t>
            </w:r>
          </w:p>
        </w:tc>
        <w:tc>
          <w:tcPr>
            <w:tcW w:type="dxa" w:w="1728"/>
            <w:shd w:fill="F9FAFC"/>
            <w:tcMar>
              <w:top w:w="80" w:type="dxa"/>
              <w:bottom w:w="80" w:type="dxa"/>
              <w:left w:w="120" w:type="dxa"/>
              <w:right w:w="120" w:type="dxa"/>
            </w:tcMar>
          </w:tcPr>
          <w:p>
            <w:pPr>
              <w:jc w:val="left"/>
            </w:pPr>
            <w:r>
              <w:rPr>
                <w:rFonts w:ascii="Calibri" w:hAnsi="Calibri"/>
                <w:color w:val="282828"/>
                <w:sz w:val="18"/>
              </w:rPr>
              <w:t>&gt;= 1.3.0</w:t>
            </w:r>
          </w:p>
        </w:tc>
        <w:tc>
          <w:tcPr>
            <w:tcW w:type="dxa" w:w="4608"/>
            <w:shd w:fill="F9FAFC"/>
            <w:tcMar>
              <w:top w:w="80" w:type="dxa"/>
              <w:bottom w:w="80" w:type="dxa"/>
              <w:left w:w="120" w:type="dxa"/>
              <w:right w:w="120" w:type="dxa"/>
            </w:tcMar>
          </w:tcPr>
          <w:p>
            <w:pPr>
              <w:jc w:val="left"/>
            </w:pPr>
            <w:r>
              <w:rPr>
                <w:rFonts w:ascii="Calibri" w:hAnsi="Calibri"/>
                <w:color w:val="282828"/>
                <w:sz w:val="18"/>
              </w:rPr>
              <w:t>StandardScaler, Random Forest, HistGradientBoosting, LinearRegression, metrics</w:t>
            </w:r>
          </w:p>
        </w:tc>
      </w:tr>
      <w:tr>
        <w:tc>
          <w:tcPr>
            <w:tcW w:type="dxa" w:w="2592"/>
            <w:shd w:fill="FFFFFF"/>
            <w:tcMar>
              <w:top w:w="80" w:type="dxa"/>
              <w:bottom w:w="80" w:type="dxa"/>
              <w:left w:w="120" w:type="dxa"/>
              <w:right w:w="120" w:type="dxa"/>
            </w:tcMar>
          </w:tcPr>
          <w:p>
            <w:pPr>
              <w:jc w:val="left"/>
            </w:pPr>
            <w:r>
              <w:rPr>
                <w:rFonts w:ascii="Calibri" w:hAnsi="Calibri"/>
                <w:color w:val="282828"/>
                <w:sz w:val="18"/>
              </w:rPr>
              <w:t>XGBoost</w:t>
            </w:r>
          </w:p>
        </w:tc>
        <w:tc>
          <w:tcPr>
            <w:tcW w:type="dxa" w:w="1728"/>
            <w:shd w:fill="FFFFFF"/>
            <w:tcMar>
              <w:top w:w="80" w:type="dxa"/>
              <w:bottom w:w="80" w:type="dxa"/>
              <w:left w:w="120" w:type="dxa"/>
              <w:right w:w="120" w:type="dxa"/>
            </w:tcMar>
          </w:tcPr>
          <w:p>
            <w:pPr>
              <w:jc w:val="left"/>
            </w:pPr>
            <w:r>
              <w:rPr>
                <w:rFonts w:ascii="Calibri" w:hAnsi="Calibri"/>
                <w:color w:val="282828"/>
                <w:sz w:val="18"/>
              </w:rPr>
              <w:t>&gt;= 2.0.0 (3.4.1)</w:t>
            </w:r>
          </w:p>
        </w:tc>
        <w:tc>
          <w:tcPr>
            <w:tcW w:type="dxa" w:w="4608"/>
            <w:shd w:fill="FFFFFF"/>
            <w:tcMar>
              <w:top w:w="80" w:type="dxa"/>
              <w:bottom w:w="80" w:type="dxa"/>
              <w:left w:w="120" w:type="dxa"/>
              <w:right w:w="120" w:type="dxa"/>
            </w:tcMar>
          </w:tcPr>
          <w:p>
            <w:pPr>
              <w:jc w:val="left"/>
            </w:pPr>
            <w:r>
              <w:rPr>
                <w:rFonts w:ascii="Calibri" w:hAnsi="Calibri"/>
                <w:color w:val="282828"/>
                <w:sz w:val="18"/>
              </w:rPr>
              <w:t>Extreme Gradient Boosting implementation with regularized tree objectives</w:t>
            </w:r>
          </w:p>
        </w:tc>
      </w:tr>
      <w:tr>
        <w:tc>
          <w:tcPr>
            <w:tcW w:type="dxa" w:w="2592"/>
            <w:shd w:fill="F9FAFC"/>
            <w:tcMar>
              <w:top w:w="80" w:type="dxa"/>
              <w:bottom w:w="80" w:type="dxa"/>
              <w:left w:w="120" w:type="dxa"/>
              <w:right w:w="120" w:type="dxa"/>
            </w:tcMar>
          </w:tcPr>
          <w:p>
            <w:pPr>
              <w:jc w:val="left"/>
            </w:pPr>
            <w:r>
              <w:rPr>
                <w:rFonts w:ascii="Calibri" w:hAnsi="Calibri"/>
                <w:color w:val="282828"/>
                <w:sz w:val="18"/>
              </w:rPr>
              <w:t>Matplotlib</w:t>
            </w:r>
          </w:p>
        </w:tc>
        <w:tc>
          <w:tcPr>
            <w:tcW w:type="dxa" w:w="1728"/>
            <w:shd w:fill="F9FAFC"/>
            <w:tcMar>
              <w:top w:w="80" w:type="dxa"/>
              <w:bottom w:w="80" w:type="dxa"/>
              <w:left w:w="120" w:type="dxa"/>
              <w:right w:w="120" w:type="dxa"/>
            </w:tcMar>
          </w:tcPr>
          <w:p>
            <w:pPr>
              <w:jc w:val="left"/>
            </w:pPr>
            <w:r>
              <w:rPr>
                <w:rFonts w:ascii="Calibri" w:hAnsi="Calibri"/>
                <w:color w:val="282828"/>
                <w:sz w:val="18"/>
              </w:rPr>
              <w:t>&gt;= 3.7.0</w:t>
            </w:r>
          </w:p>
        </w:tc>
        <w:tc>
          <w:tcPr>
            <w:tcW w:type="dxa" w:w="4608"/>
            <w:shd w:fill="F9FAFC"/>
            <w:tcMar>
              <w:top w:w="80" w:type="dxa"/>
              <w:bottom w:w="80" w:type="dxa"/>
              <w:left w:w="120" w:type="dxa"/>
              <w:right w:w="120" w:type="dxa"/>
            </w:tcMar>
          </w:tcPr>
          <w:p>
            <w:pPr>
              <w:jc w:val="left"/>
            </w:pPr>
            <w:r>
              <w:rPr>
                <w:rFonts w:ascii="Calibri" w:hAnsi="Calibri"/>
                <w:color w:val="282828"/>
                <w:sz w:val="18"/>
              </w:rPr>
              <w:t>Core plotting engine for static academic figures, distributions, and residual charts</w:t>
            </w:r>
          </w:p>
        </w:tc>
      </w:tr>
      <w:tr>
        <w:tc>
          <w:tcPr>
            <w:tcW w:type="dxa" w:w="2592"/>
            <w:shd w:fill="FFFFFF"/>
            <w:tcMar>
              <w:top w:w="80" w:type="dxa"/>
              <w:bottom w:w="80" w:type="dxa"/>
              <w:left w:w="120" w:type="dxa"/>
              <w:right w:w="120" w:type="dxa"/>
            </w:tcMar>
          </w:tcPr>
          <w:p>
            <w:pPr>
              <w:jc w:val="left"/>
            </w:pPr>
            <w:r>
              <w:rPr>
                <w:rFonts w:ascii="Calibri" w:hAnsi="Calibri"/>
                <w:color w:val="282828"/>
                <w:sz w:val="18"/>
              </w:rPr>
              <w:t>Seaborn</w:t>
            </w:r>
          </w:p>
        </w:tc>
        <w:tc>
          <w:tcPr>
            <w:tcW w:type="dxa" w:w="1728"/>
            <w:shd w:fill="FFFFFF"/>
            <w:tcMar>
              <w:top w:w="80" w:type="dxa"/>
              <w:bottom w:w="80" w:type="dxa"/>
              <w:left w:w="120" w:type="dxa"/>
              <w:right w:w="120" w:type="dxa"/>
            </w:tcMar>
          </w:tcPr>
          <w:p>
            <w:pPr>
              <w:jc w:val="left"/>
            </w:pPr>
            <w:r>
              <w:rPr>
                <w:rFonts w:ascii="Calibri" w:hAnsi="Calibri"/>
                <w:color w:val="282828"/>
                <w:sz w:val="18"/>
              </w:rPr>
              <w:t>&gt;= 0.12.0</w:t>
            </w:r>
          </w:p>
        </w:tc>
        <w:tc>
          <w:tcPr>
            <w:tcW w:type="dxa" w:w="4608"/>
            <w:shd w:fill="FFFFFF"/>
            <w:tcMar>
              <w:top w:w="80" w:type="dxa"/>
              <w:bottom w:w="80" w:type="dxa"/>
              <w:left w:w="120" w:type="dxa"/>
              <w:right w:w="120" w:type="dxa"/>
            </w:tcMar>
          </w:tcPr>
          <w:p>
            <w:pPr>
              <w:jc w:val="left"/>
            </w:pPr>
            <w:r>
              <w:rPr>
                <w:rFonts w:ascii="Calibri" w:hAnsi="Calibri"/>
                <w:color w:val="282828"/>
                <w:sz w:val="18"/>
              </w:rPr>
              <w:t>Statistical visual styling, heatmaps, and multi-variable distribution plots</w:t>
            </w:r>
          </w:p>
        </w:tc>
      </w:tr>
      <w:tr>
        <w:tc>
          <w:tcPr>
            <w:tcW w:type="dxa" w:w="2592"/>
            <w:shd w:fill="F9FAFC"/>
            <w:tcMar>
              <w:top w:w="80" w:type="dxa"/>
              <w:bottom w:w="80" w:type="dxa"/>
              <w:left w:w="120" w:type="dxa"/>
              <w:right w:w="120" w:type="dxa"/>
            </w:tcMar>
          </w:tcPr>
          <w:p>
            <w:pPr>
              <w:jc w:val="left"/>
            </w:pPr>
            <w:r>
              <w:rPr>
                <w:rFonts w:ascii="Calibri" w:hAnsi="Calibri"/>
                <w:color w:val="282828"/>
                <w:sz w:val="18"/>
              </w:rPr>
              <w:t>Streamlit</w:t>
            </w:r>
          </w:p>
        </w:tc>
        <w:tc>
          <w:tcPr>
            <w:tcW w:type="dxa" w:w="1728"/>
            <w:shd w:fill="F9FAFC"/>
            <w:tcMar>
              <w:top w:w="80" w:type="dxa"/>
              <w:bottom w:w="80" w:type="dxa"/>
              <w:left w:w="120" w:type="dxa"/>
              <w:right w:w="120" w:type="dxa"/>
            </w:tcMar>
          </w:tcPr>
          <w:p>
            <w:pPr>
              <w:jc w:val="left"/>
            </w:pPr>
            <w:r>
              <w:rPr>
                <w:rFonts w:ascii="Calibri" w:hAnsi="Calibri"/>
                <w:color w:val="282828"/>
                <w:sz w:val="18"/>
              </w:rPr>
              <w:t>&gt;= 1.28.0</w:t>
            </w:r>
          </w:p>
        </w:tc>
        <w:tc>
          <w:tcPr>
            <w:tcW w:type="dxa" w:w="4608"/>
            <w:shd w:fill="F9FAFC"/>
            <w:tcMar>
              <w:top w:w="80" w:type="dxa"/>
              <w:bottom w:w="80" w:type="dxa"/>
              <w:left w:w="120" w:type="dxa"/>
              <w:right w:w="120" w:type="dxa"/>
            </w:tcMar>
          </w:tcPr>
          <w:p>
            <w:pPr>
              <w:jc w:val="left"/>
            </w:pPr>
            <w:r>
              <w:rPr>
                <w:rFonts w:ascii="Calibri" w:hAnsi="Calibri"/>
                <w:color w:val="282828"/>
                <w:sz w:val="18"/>
              </w:rPr>
              <w:t>Interactive enterprise dashboard framework with KPI cards and real-time inference</w:t>
            </w:r>
          </w:p>
        </w:tc>
      </w:tr>
      <w:tr>
        <w:tc>
          <w:tcPr>
            <w:tcW w:type="dxa" w:w="2592"/>
            <w:shd w:fill="FFFFFF"/>
            <w:tcMar>
              <w:top w:w="80" w:type="dxa"/>
              <w:bottom w:w="80" w:type="dxa"/>
              <w:left w:w="120" w:type="dxa"/>
              <w:right w:w="120" w:type="dxa"/>
            </w:tcMar>
          </w:tcPr>
          <w:p>
            <w:pPr>
              <w:jc w:val="left"/>
            </w:pPr>
            <w:r>
              <w:rPr>
                <w:rFonts w:ascii="Calibri" w:hAnsi="Calibri"/>
                <w:color w:val="282828"/>
                <w:sz w:val="18"/>
              </w:rPr>
              <w:t>Joblib</w:t>
            </w:r>
          </w:p>
        </w:tc>
        <w:tc>
          <w:tcPr>
            <w:tcW w:type="dxa" w:w="1728"/>
            <w:shd w:fill="FFFFFF"/>
            <w:tcMar>
              <w:top w:w="80" w:type="dxa"/>
              <w:bottom w:w="80" w:type="dxa"/>
              <w:left w:w="120" w:type="dxa"/>
              <w:right w:w="120" w:type="dxa"/>
            </w:tcMar>
          </w:tcPr>
          <w:p>
            <w:pPr>
              <w:jc w:val="left"/>
            </w:pPr>
            <w:r>
              <w:rPr>
                <w:rFonts w:ascii="Calibri" w:hAnsi="Calibri"/>
                <w:color w:val="282828"/>
                <w:sz w:val="18"/>
              </w:rPr>
              <w:t>&gt;= 1.3.0</w:t>
            </w:r>
          </w:p>
        </w:tc>
        <w:tc>
          <w:tcPr>
            <w:tcW w:type="dxa" w:w="4608"/>
            <w:shd w:fill="FFFFFF"/>
            <w:tcMar>
              <w:top w:w="80" w:type="dxa"/>
              <w:bottom w:w="80" w:type="dxa"/>
              <w:left w:w="120" w:type="dxa"/>
              <w:right w:w="120" w:type="dxa"/>
            </w:tcMar>
          </w:tcPr>
          <w:p>
            <w:pPr>
              <w:jc w:val="left"/>
            </w:pPr>
            <w:r>
              <w:rPr>
                <w:rFonts w:ascii="Calibri" w:hAnsi="Calibri"/>
                <w:color w:val="282828"/>
                <w:sz w:val="18"/>
              </w:rPr>
              <w:t>Efficient binary serialization for trained machine learning models (.pkl)</w:t>
            </w:r>
          </w:p>
        </w:tc>
      </w:tr>
      <w:tr>
        <w:tc>
          <w:tcPr>
            <w:tcW w:type="dxa" w:w="2592"/>
            <w:shd w:fill="F9FAFC"/>
            <w:tcMar>
              <w:top w:w="80" w:type="dxa"/>
              <w:bottom w:w="80" w:type="dxa"/>
              <w:left w:w="120" w:type="dxa"/>
              <w:right w:w="120" w:type="dxa"/>
            </w:tcMar>
          </w:tcPr>
          <w:p>
            <w:pPr>
              <w:jc w:val="left"/>
            </w:pPr>
            <w:r>
              <w:rPr>
                <w:rFonts w:ascii="Calibri" w:hAnsi="Calibri"/>
                <w:color w:val="282828"/>
                <w:sz w:val="18"/>
              </w:rPr>
              <w:t>Pytest</w:t>
            </w:r>
          </w:p>
        </w:tc>
        <w:tc>
          <w:tcPr>
            <w:tcW w:type="dxa" w:w="1728"/>
            <w:shd w:fill="F9FAFC"/>
            <w:tcMar>
              <w:top w:w="80" w:type="dxa"/>
              <w:bottom w:w="80" w:type="dxa"/>
              <w:left w:w="120" w:type="dxa"/>
              <w:right w:w="120" w:type="dxa"/>
            </w:tcMar>
          </w:tcPr>
          <w:p>
            <w:pPr>
              <w:jc w:val="left"/>
            </w:pPr>
            <w:r>
              <w:rPr>
                <w:rFonts w:ascii="Calibri" w:hAnsi="Calibri"/>
                <w:color w:val="282828"/>
                <w:sz w:val="18"/>
              </w:rPr>
              <w:t>&gt;= 7.4.0</w:t>
            </w:r>
          </w:p>
        </w:tc>
        <w:tc>
          <w:tcPr>
            <w:tcW w:type="dxa" w:w="4608"/>
            <w:shd w:fill="F9FAFC"/>
            <w:tcMar>
              <w:top w:w="80" w:type="dxa"/>
              <w:bottom w:w="80" w:type="dxa"/>
              <w:left w:w="120" w:type="dxa"/>
              <w:right w:w="120" w:type="dxa"/>
            </w:tcMar>
          </w:tcPr>
          <w:p>
            <w:pPr>
              <w:jc w:val="left"/>
            </w:pPr>
            <w:r>
              <w:rPr>
                <w:rFonts w:ascii="Calibri" w:hAnsi="Calibri"/>
                <w:color w:val="282828"/>
                <w:sz w:val="18"/>
              </w:rPr>
              <w:t>Automated test runner executing 16 validation and pipeline verification tests</w:t>
            </w:r>
          </w:p>
        </w:tc>
      </w:tr>
    </w:tbl>
    <w:p>
      <w:pPr>
        <w:spacing w:after="280" w:before="80" w:line="276" w:lineRule="auto"/>
        <w:jc w:val="center"/>
      </w:pPr>
      <w:r>
        <w:rPr>
          <w:rFonts w:ascii="Calibri" w:hAnsi="Calibri"/>
          <w:color w:val="282828"/>
          <w:sz w:val="22"/>
        </w:rPr>
        <w:t>Table 16.1: Project Technology Stack and Operational Dependencies</w:t>
      </w:r>
    </w:p>
    <w:p>
      <w:r>
        <w:br w:type="page"/>
      </w:r>
    </w:p>
    <w:p>
      <w:pPr>
        <w:keepNext/>
        <w:spacing w:before="360" w:after="160"/>
      </w:pPr>
      <w:r>
        <w:rPr>
          <w:rFonts w:ascii="Calibri" w:hAnsi="Calibri"/>
          <w:b/>
          <w:color w:val="1F4E79"/>
          <w:sz w:val="32"/>
        </w:rPr>
        <w:t>17. TESTING, VERIFICATION, AND QUALITY ASSURANCE</w:t>
      </w:r>
    </w:p>
    <w:p>
      <w:pPr>
        <w:spacing w:after="120" w:before="0" w:line="276" w:lineRule="auto"/>
        <w:jc w:val="both"/>
      </w:pPr>
      <w:r>
        <w:rPr>
          <w:rFonts w:ascii="Calibri" w:hAnsi="Calibri"/>
          <w:color w:val="282828"/>
          <w:sz w:val="22"/>
        </w:rPr>
        <w:t>Software quality assurance and reproducibility were enforced through an automated test suite implemented in tests/test_pipeline.py. All 16 unit tests were executed and achieved a 100% pass rate:</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c>
          <w:tcPr>
            <w:tcW w:type="dxa" w:w="1296"/>
            <w:shd w:fill="1F4E79"/>
            <w:tcMar>
              <w:top w:w="120" w:type="dxa"/>
              <w:bottom w:w="120" w:type="dxa"/>
              <w:left w:w="150" w:type="dxa"/>
              <w:right w:w="150" w:type="dxa"/>
            </w:tcMar>
          </w:tcPr>
          <w:p>
            <w:pPr>
              <w:jc w:val="center"/>
            </w:pPr>
            <w:r>
              <w:rPr>
                <w:rFonts w:ascii="Calibri" w:hAnsi="Calibri"/>
                <w:b/>
                <w:color w:val="FFFFFF"/>
                <w:sz w:val="19"/>
              </w:rPr>
              <w:t>Test Identifier</w:t>
            </w:r>
          </w:p>
        </w:tc>
        <w:tc>
          <w:tcPr>
            <w:tcW w:type="dxa" w:w="3168"/>
            <w:shd w:fill="1F4E79"/>
            <w:tcMar>
              <w:top w:w="120" w:type="dxa"/>
              <w:bottom w:w="120" w:type="dxa"/>
              <w:left w:w="150" w:type="dxa"/>
              <w:right w:w="150" w:type="dxa"/>
            </w:tcMar>
          </w:tcPr>
          <w:p>
            <w:pPr>
              <w:jc w:val="center"/>
            </w:pPr>
            <w:r>
              <w:rPr>
                <w:rFonts w:ascii="Calibri" w:hAnsi="Calibri"/>
                <w:b/>
                <w:color w:val="FFFFFF"/>
                <w:sz w:val="19"/>
              </w:rPr>
              <w:t>Test Function</w:t>
            </w:r>
          </w:p>
        </w:tc>
        <w:tc>
          <w:tcPr>
            <w:tcW w:type="dxa" w:w="3312"/>
            <w:shd w:fill="1F4E79"/>
            <w:tcMar>
              <w:top w:w="120" w:type="dxa"/>
              <w:bottom w:w="120" w:type="dxa"/>
              <w:left w:w="150" w:type="dxa"/>
              <w:right w:w="150" w:type="dxa"/>
            </w:tcMar>
          </w:tcPr>
          <w:p>
            <w:pPr>
              <w:jc w:val="center"/>
            </w:pPr>
            <w:r>
              <w:rPr>
                <w:rFonts w:ascii="Calibri" w:hAnsi="Calibri"/>
                <w:b/>
                <w:color w:val="FFFFFF"/>
                <w:sz w:val="19"/>
              </w:rPr>
              <w:t>Verification Scope</w:t>
            </w:r>
          </w:p>
        </w:tc>
        <w:tc>
          <w:tcPr>
            <w:tcW w:type="dxa" w:w="1152"/>
            <w:shd w:fill="1F4E79"/>
            <w:tcMar>
              <w:top w:w="120" w:type="dxa"/>
              <w:bottom w:w="120" w:type="dxa"/>
              <w:left w:w="150" w:type="dxa"/>
              <w:right w:w="150" w:type="dxa"/>
            </w:tcMar>
          </w:tcPr>
          <w:p>
            <w:pPr>
              <w:jc w:val="center"/>
            </w:pPr>
            <w:r>
              <w:rPr>
                <w:rFonts w:ascii="Calibri" w:hAnsi="Calibri"/>
                <w:b/>
                <w:color w:val="FFFFFF"/>
                <w:sz w:val="19"/>
              </w:rPr>
              <w:t>Result</w:t>
            </w:r>
          </w:p>
        </w:tc>
      </w:tr>
      <w:tr>
        <w:tc>
          <w:tcPr>
            <w:tcW w:type="dxa" w:w="1296"/>
            <w:shd w:fill="FFFFFF"/>
            <w:tcMar>
              <w:top w:w="80" w:type="dxa"/>
              <w:bottom w:w="80" w:type="dxa"/>
              <w:left w:w="120" w:type="dxa"/>
              <w:right w:w="120" w:type="dxa"/>
            </w:tcMar>
          </w:tcPr>
          <w:p>
            <w:pPr>
              <w:jc w:val="center"/>
            </w:pPr>
            <w:r>
              <w:rPr>
                <w:rFonts w:ascii="Calibri" w:hAnsi="Calibri"/>
                <w:color w:val="282828"/>
                <w:sz w:val="18"/>
              </w:rPr>
              <w:t>TC-01</w:t>
            </w:r>
          </w:p>
        </w:tc>
        <w:tc>
          <w:tcPr>
            <w:tcW w:type="dxa" w:w="3168"/>
            <w:shd w:fill="FFFFFF"/>
            <w:tcMar>
              <w:top w:w="80" w:type="dxa"/>
              <w:bottom w:w="80" w:type="dxa"/>
              <w:left w:w="120" w:type="dxa"/>
              <w:right w:w="120" w:type="dxa"/>
            </w:tcMar>
          </w:tcPr>
          <w:p>
            <w:pPr>
              <w:jc w:val="left"/>
            </w:pPr>
            <w:r>
              <w:rPr>
                <w:rFonts w:ascii="Calibri" w:hAnsi="Calibri"/>
                <w:color w:val="282828"/>
                <w:sz w:val="18"/>
              </w:rPr>
              <w:t>test_train_loads</w:t>
            </w:r>
          </w:p>
        </w:tc>
        <w:tc>
          <w:tcPr>
            <w:tcW w:type="dxa" w:w="3312"/>
            <w:shd w:fill="FFFFFF"/>
            <w:tcMar>
              <w:top w:w="80" w:type="dxa"/>
              <w:bottom w:w="80" w:type="dxa"/>
              <w:left w:w="120" w:type="dxa"/>
              <w:right w:w="120" w:type="dxa"/>
            </w:tcMar>
          </w:tcPr>
          <w:p>
            <w:pPr>
              <w:jc w:val="left"/>
            </w:pPr>
            <w:r>
              <w:rPr>
                <w:rFonts w:ascii="Calibri" w:hAnsi="Calibri"/>
                <w:color w:val="282828"/>
                <w:sz w:val="18"/>
              </w:rPr>
              <w:t>Confirm train.csv exists, loads, has 421,570 rows and 5 columns</w:t>
            </w:r>
          </w:p>
        </w:tc>
        <w:tc>
          <w:tcPr>
            <w:tcW w:type="dxa" w:w="1152"/>
            <w:shd w:fill="FFFFFF"/>
            <w:tcMar>
              <w:top w:w="80" w:type="dxa"/>
              <w:bottom w:w="80" w:type="dxa"/>
              <w:left w:w="120" w:type="dxa"/>
              <w:right w:w="120" w:type="dxa"/>
            </w:tcMar>
          </w:tcPr>
          <w:p>
            <w:pPr>
              <w:jc w:val="center"/>
            </w:pPr>
            <w:r>
              <w:rPr>
                <w:rFonts w:ascii="Calibri" w:hAnsi="Calibri"/>
                <w:color w:val="282828"/>
                <w:sz w:val="18"/>
              </w:rPr>
              <w:t>PASS</w:t>
            </w:r>
          </w:p>
        </w:tc>
      </w:tr>
      <w:tr>
        <w:tc>
          <w:tcPr>
            <w:tcW w:type="dxa" w:w="1296"/>
            <w:shd w:fill="F9FAFC"/>
            <w:tcMar>
              <w:top w:w="80" w:type="dxa"/>
              <w:bottom w:w="80" w:type="dxa"/>
              <w:left w:w="120" w:type="dxa"/>
              <w:right w:w="120" w:type="dxa"/>
            </w:tcMar>
          </w:tcPr>
          <w:p>
            <w:pPr>
              <w:jc w:val="center"/>
            </w:pPr>
            <w:r>
              <w:rPr>
                <w:rFonts w:ascii="Calibri" w:hAnsi="Calibri"/>
                <w:color w:val="282828"/>
                <w:sz w:val="18"/>
              </w:rPr>
              <w:t>TC-02</w:t>
            </w:r>
          </w:p>
        </w:tc>
        <w:tc>
          <w:tcPr>
            <w:tcW w:type="dxa" w:w="3168"/>
            <w:shd w:fill="F9FAFC"/>
            <w:tcMar>
              <w:top w:w="80" w:type="dxa"/>
              <w:bottom w:w="80" w:type="dxa"/>
              <w:left w:w="120" w:type="dxa"/>
              <w:right w:w="120" w:type="dxa"/>
            </w:tcMar>
          </w:tcPr>
          <w:p>
            <w:pPr>
              <w:jc w:val="left"/>
            </w:pPr>
            <w:r>
              <w:rPr>
                <w:rFonts w:ascii="Calibri" w:hAnsi="Calibri"/>
                <w:color w:val="282828"/>
                <w:sz w:val="18"/>
              </w:rPr>
              <w:t>test_test_loads</w:t>
            </w:r>
          </w:p>
        </w:tc>
        <w:tc>
          <w:tcPr>
            <w:tcW w:type="dxa" w:w="3312"/>
            <w:shd w:fill="F9FAFC"/>
            <w:tcMar>
              <w:top w:w="80" w:type="dxa"/>
              <w:bottom w:w="80" w:type="dxa"/>
              <w:left w:w="120" w:type="dxa"/>
              <w:right w:w="120" w:type="dxa"/>
            </w:tcMar>
          </w:tcPr>
          <w:p>
            <w:pPr>
              <w:jc w:val="left"/>
            </w:pPr>
            <w:r>
              <w:rPr>
                <w:rFonts w:ascii="Calibri" w:hAnsi="Calibri"/>
                <w:color w:val="282828"/>
                <w:sz w:val="18"/>
              </w:rPr>
              <w:t>Confirm test.csv exists, loads, has 115,064 rows and 4 columns</w:t>
            </w:r>
          </w:p>
        </w:tc>
        <w:tc>
          <w:tcPr>
            <w:tcW w:type="dxa" w:w="1152"/>
            <w:shd w:fill="F9FAFC"/>
            <w:tcMar>
              <w:top w:w="80" w:type="dxa"/>
              <w:bottom w:w="80" w:type="dxa"/>
              <w:left w:w="120" w:type="dxa"/>
              <w:right w:w="120" w:type="dxa"/>
            </w:tcMar>
          </w:tcPr>
          <w:p>
            <w:pPr>
              <w:jc w:val="center"/>
            </w:pPr>
            <w:r>
              <w:rPr>
                <w:rFonts w:ascii="Calibri" w:hAnsi="Calibri"/>
                <w:color w:val="282828"/>
                <w:sz w:val="18"/>
              </w:rPr>
              <w:t>PASS</w:t>
            </w:r>
          </w:p>
        </w:tc>
      </w:tr>
      <w:tr>
        <w:tc>
          <w:tcPr>
            <w:tcW w:type="dxa" w:w="1296"/>
            <w:shd w:fill="FFFFFF"/>
            <w:tcMar>
              <w:top w:w="80" w:type="dxa"/>
              <w:bottom w:w="80" w:type="dxa"/>
              <w:left w:w="120" w:type="dxa"/>
              <w:right w:w="120" w:type="dxa"/>
            </w:tcMar>
          </w:tcPr>
          <w:p>
            <w:pPr>
              <w:jc w:val="center"/>
            </w:pPr>
            <w:r>
              <w:rPr>
                <w:rFonts w:ascii="Calibri" w:hAnsi="Calibri"/>
                <w:color w:val="282828"/>
                <w:sz w:val="18"/>
              </w:rPr>
              <w:t>TC-03</w:t>
            </w:r>
          </w:p>
        </w:tc>
        <w:tc>
          <w:tcPr>
            <w:tcW w:type="dxa" w:w="3168"/>
            <w:shd w:fill="FFFFFF"/>
            <w:tcMar>
              <w:top w:w="80" w:type="dxa"/>
              <w:bottom w:w="80" w:type="dxa"/>
              <w:left w:w="120" w:type="dxa"/>
              <w:right w:w="120" w:type="dxa"/>
            </w:tcMar>
          </w:tcPr>
          <w:p>
            <w:pPr>
              <w:jc w:val="left"/>
            </w:pPr>
            <w:r>
              <w:rPr>
                <w:rFonts w:ascii="Calibri" w:hAnsi="Calibri"/>
                <w:color w:val="282828"/>
                <w:sz w:val="18"/>
              </w:rPr>
              <w:t>test_features_loads</w:t>
            </w:r>
          </w:p>
        </w:tc>
        <w:tc>
          <w:tcPr>
            <w:tcW w:type="dxa" w:w="3312"/>
            <w:shd w:fill="FFFFFF"/>
            <w:tcMar>
              <w:top w:w="80" w:type="dxa"/>
              <w:bottom w:w="80" w:type="dxa"/>
              <w:left w:w="120" w:type="dxa"/>
              <w:right w:w="120" w:type="dxa"/>
            </w:tcMar>
          </w:tcPr>
          <w:p>
            <w:pPr>
              <w:jc w:val="left"/>
            </w:pPr>
            <w:r>
              <w:rPr>
                <w:rFonts w:ascii="Calibri" w:hAnsi="Calibri"/>
                <w:color w:val="282828"/>
                <w:sz w:val="18"/>
              </w:rPr>
              <w:t>Confirm features.csv exists, loads, has 8,190 rows and 12 columns</w:t>
            </w:r>
          </w:p>
        </w:tc>
        <w:tc>
          <w:tcPr>
            <w:tcW w:type="dxa" w:w="1152"/>
            <w:shd w:fill="FFFFFF"/>
            <w:tcMar>
              <w:top w:w="80" w:type="dxa"/>
              <w:bottom w:w="80" w:type="dxa"/>
              <w:left w:w="120" w:type="dxa"/>
              <w:right w:w="120" w:type="dxa"/>
            </w:tcMar>
          </w:tcPr>
          <w:p>
            <w:pPr>
              <w:jc w:val="center"/>
            </w:pPr>
            <w:r>
              <w:rPr>
                <w:rFonts w:ascii="Calibri" w:hAnsi="Calibri"/>
                <w:color w:val="282828"/>
                <w:sz w:val="18"/>
              </w:rPr>
              <w:t>PASS</w:t>
            </w:r>
          </w:p>
        </w:tc>
      </w:tr>
      <w:tr>
        <w:tc>
          <w:tcPr>
            <w:tcW w:type="dxa" w:w="1296"/>
            <w:shd w:fill="F9FAFC"/>
            <w:tcMar>
              <w:top w:w="80" w:type="dxa"/>
              <w:bottom w:w="80" w:type="dxa"/>
              <w:left w:w="120" w:type="dxa"/>
              <w:right w:w="120" w:type="dxa"/>
            </w:tcMar>
          </w:tcPr>
          <w:p>
            <w:pPr>
              <w:jc w:val="center"/>
            </w:pPr>
            <w:r>
              <w:rPr>
                <w:rFonts w:ascii="Calibri" w:hAnsi="Calibri"/>
                <w:color w:val="282828"/>
                <w:sz w:val="18"/>
              </w:rPr>
              <w:t>TC-04</w:t>
            </w:r>
          </w:p>
        </w:tc>
        <w:tc>
          <w:tcPr>
            <w:tcW w:type="dxa" w:w="3168"/>
            <w:shd w:fill="F9FAFC"/>
            <w:tcMar>
              <w:top w:w="80" w:type="dxa"/>
              <w:bottom w:w="80" w:type="dxa"/>
              <w:left w:w="120" w:type="dxa"/>
              <w:right w:w="120" w:type="dxa"/>
            </w:tcMar>
          </w:tcPr>
          <w:p>
            <w:pPr>
              <w:jc w:val="left"/>
            </w:pPr>
            <w:r>
              <w:rPr>
                <w:rFonts w:ascii="Calibri" w:hAnsi="Calibri"/>
                <w:color w:val="282828"/>
                <w:sz w:val="18"/>
              </w:rPr>
              <w:t>test_stores_loads</w:t>
            </w:r>
          </w:p>
        </w:tc>
        <w:tc>
          <w:tcPr>
            <w:tcW w:type="dxa" w:w="3312"/>
            <w:shd w:fill="F9FAFC"/>
            <w:tcMar>
              <w:top w:w="80" w:type="dxa"/>
              <w:bottom w:w="80" w:type="dxa"/>
              <w:left w:w="120" w:type="dxa"/>
              <w:right w:w="120" w:type="dxa"/>
            </w:tcMar>
          </w:tcPr>
          <w:p>
            <w:pPr>
              <w:jc w:val="left"/>
            </w:pPr>
            <w:r>
              <w:rPr>
                <w:rFonts w:ascii="Calibri" w:hAnsi="Calibri"/>
                <w:color w:val="282828"/>
                <w:sz w:val="18"/>
              </w:rPr>
              <w:t>Confirm stores.csv exists, loads, has 45 rows and 3 columns</w:t>
            </w:r>
          </w:p>
        </w:tc>
        <w:tc>
          <w:tcPr>
            <w:tcW w:type="dxa" w:w="1152"/>
            <w:shd w:fill="F9FAFC"/>
            <w:tcMar>
              <w:top w:w="80" w:type="dxa"/>
              <w:bottom w:w="80" w:type="dxa"/>
              <w:left w:w="120" w:type="dxa"/>
              <w:right w:w="120" w:type="dxa"/>
            </w:tcMar>
          </w:tcPr>
          <w:p>
            <w:pPr>
              <w:jc w:val="center"/>
            </w:pPr>
            <w:r>
              <w:rPr>
                <w:rFonts w:ascii="Calibri" w:hAnsi="Calibri"/>
                <w:color w:val="282828"/>
                <w:sz w:val="18"/>
              </w:rPr>
              <w:t>PASS</w:t>
            </w:r>
          </w:p>
        </w:tc>
      </w:tr>
      <w:tr>
        <w:tc>
          <w:tcPr>
            <w:tcW w:type="dxa" w:w="1296"/>
            <w:shd w:fill="FFFFFF"/>
            <w:tcMar>
              <w:top w:w="80" w:type="dxa"/>
              <w:bottom w:w="80" w:type="dxa"/>
              <w:left w:w="120" w:type="dxa"/>
              <w:right w:w="120" w:type="dxa"/>
            </w:tcMar>
          </w:tcPr>
          <w:p>
            <w:pPr>
              <w:jc w:val="center"/>
            </w:pPr>
            <w:r>
              <w:rPr>
                <w:rFonts w:ascii="Calibri" w:hAnsi="Calibri"/>
                <w:color w:val="282828"/>
                <w:sz w:val="18"/>
              </w:rPr>
              <w:t>TC-05</w:t>
            </w:r>
          </w:p>
        </w:tc>
        <w:tc>
          <w:tcPr>
            <w:tcW w:type="dxa" w:w="3168"/>
            <w:shd w:fill="FFFFFF"/>
            <w:tcMar>
              <w:top w:w="80" w:type="dxa"/>
              <w:bottom w:w="80" w:type="dxa"/>
              <w:left w:w="120" w:type="dxa"/>
              <w:right w:w="120" w:type="dxa"/>
            </w:tcMar>
          </w:tcPr>
          <w:p>
            <w:pPr>
              <w:jc w:val="left"/>
            </w:pPr>
            <w:r>
              <w:rPr>
                <w:rFonts w:ascii="Calibri" w:hAnsi="Calibri"/>
                <w:color w:val="282828"/>
                <w:sz w:val="18"/>
              </w:rPr>
              <w:t>test_store_ids_match</w:t>
            </w:r>
          </w:p>
        </w:tc>
        <w:tc>
          <w:tcPr>
            <w:tcW w:type="dxa" w:w="3312"/>
            <w:shd w:fill="FFFFFF"/>
            <w:tcMar>
              <w:top w:w="80" w:type="dxa"/>
              <w:bottom w:w="80" w:type="dxa"/>
              <w:left w:w="120" w:type="dxa"/>
              <w:right w:w="120" w:type="dxa"/>
            </w:tcMar>
          </w:tcPr>
          <w:p>
            <w:pPr>
              <w:jc w:val="left"/>
            </w:pPr>
            <w:r>
              <w:rPr>
                <w:rFonts w:ascii="Calibri" w:hAnsi="Calibri"/>
                <w:color w:val="282828"/>
                <w:sz w:val="18"/>
              </w:rPr>
              <w:t>Verify all store IDs (1–45) match across train, test, features, stores</w:t>
            </w:r>
          </w:p>
        </w:tc>
        <w:tc>
          <w:tcPr>
            <w:tcW w:type="dxa" w:w="1152"/>
            <w:shd w:fill="FFFFFF"/>
            <w:tcMar>
              <w:top w:w="80" w:type="dxa"/>
              <w:bottom w:w="80" w:type="dxa"/>
              <w:left w:w="120" w:type="dxa"/>
              <w:right w:w="120" w:type="dxa"/>
            </w:tcMar>
          </w:tcPr>
          <w:p>
            <w:pPr>
              <w:jc w:val="center"/>
            </w:pPr>
            <w:r>
              <w:rPr>
                <w:rFonts w:ascii="Calibri" w:hAnsi="Calibri"/>
                <w:color w:val="282828"/>
                <w:sz w:val="18"/>
              </w:rPr>
              <w:t>PASS</w:t>
            </w:r>
          </w:p>
        </w:tc>
      </w:tr>
      <w:tr>
        <w:tc>
          <w:tcPr>
            <w:tcW w:type="dxa" w:w="1296"/>
            <w:shd w:fill="F9FAFC"/>
            <w:tcMar>
              <w:top w:w="80" w:type="dxa"/>
              <w:bottom w:w="80" w:type="dxa"/>
              <w:left w:w="120" w:type="dxa"/>
              <w:right w:w="120" w:type="dxa"/>
            </w:tcMar>
          </w:tcPr>
          <w:p>
            <w:pPr>
              <w:jc w:val="center"/>
            </w:pPr>
            <w:r>
              <w:rPr>
                <w:rFonts w:ascii="Calibri" w:hAnsi="Calibri"/>
                <w:color w:val="282828"/>
                <w:sz w:val="18"/>
              </w:rPr>
              <w:t>TC-06</w:t>
            </w:r>
          </w:p>
        </w:tc>
        <w:tc>
          <w:tcPr>
            <w:tcW w:type="dxa" w:w="3168"/>
            <w:shd w:fill="F9FAFC"/>
            <w:tcMar>
              <w:top w:w="80" w:type="dxa"/>
              <w:bottom w:w="80" w:type="dxa"/>
              <w:left w:w="120" w:type="dxa"/>
              <w:right w:w="120" w:type="dxa"/>
            </w:tcMar>
          </w:tcPr>
          <w:p>
            <w:pPr>
              <w:jc w:val="left"/>
            </w:pPr>
            <w:r>
              <w:rPr>
                <w:rFonts w:ascii="Calibri" w:hAnsi="Calibri"/>
                <w:color w:val="282828"/>
                <w:sz w:val="18"/>
              </w:rPr>
              <w:t>test_merge_preserves_rows</w:t>
            </w:r>
          </w:p>
        </w:tc>
        <w:tc>
          <w:tcPr>
            <w:tcW w:type="dxa" w:w="3312"/>
            <w:shd w:fill="F9FAFC"/>
            <w:tcMar>
              <w:top w:w="80" w:type="dxa"/>
              <w:bottom w:w="80" w:type="dxa"/>
              <w:left w:w="120" w:type="dxa"/>
              <w:right w:w="120" w:type="dxa"/>
            </w:tcMar>
          </w:tcPr>
          <w:p>
            <w:pPr>
              <w:jc w:val="left"/>
            </w:pPr>
            <w:r>
              <w:rPr>
                <w:rFonts w:ascii="Calibri" w:hAnsi="Calibri"/>
                <w:color w:val="282828"/>
                <w:sz w:val="18"/>
              </w:rPr>
              <w:t>Verify relational merge preserves exact 421,570 row count</w:t>
            </w:r>
          </w:p>
        </w:tc>
        <w:tc>
          <w:tcPr>
            <w:tcW w:type="dxa" w:w="1152"/>
            <w:shd w:fill="F9FAFC"/>
            <w:tcMar>
              <w:top w:w="80" w:type="dxa"/>
              <w:bottom w:w="80" w:type="dxa"/>
              <w:left w:w="120" w:type="dxa"/>
              <w:right w:w="120" w:type="dxa"/>
            </w:tcMar>
          </w:tcPr>
          <w:p>
            <w:pPr>
              <w:jc w:val="center"/>
            </w:pPr>
            <w:r>
              <w:rPr>
                <w:rFonts w:ascii="Calibri" w:hAnsi="Calibri"/>
                <w:color w:val="282828"/>
                <w:sz w:val="18"/>
              </w:rPr>
              <w:t>PASS</w:t>
            </w:r>
          </w:p>
        </w:tc>
      </w:tr>
      <w:tr>
        <w:tc>
          <w:tcPr>
            <w:tcW w:type="dxa" w:w="1296"/>
            <w:shd w:fill="FFFFFF"/>
            <w:tcMar>
              <w:top w:w="80" w:type="dxa"/>
              <w:bottom w:w="80" w:type="dxa"/>
              <w:left w:w="120" w:type="dxa"/>
              <w:right w:w="120" w:type="dxa"/>
            </w:tcMar>
          </w:tcPr>
          <w:p>
            <w:pPr>
              <w:jc w:val="center"/>
            </w:pPr>
            <w:r>
              <w:rPr>
                <w:rFonts w:ascii="Calibri" w:hAnsi="Calibri"/>
                <w:color w:val="282828"/>
                <w:sz w:val="18"/>
              </w:rPr>
              <w:t>TC-07</w:t>
            </w:r>
          </w:p>
        </w:tc>
        <w:tc>
          <w:tcPr>
            <w:tcW w:type="dxa" w:w="3168"/>
            <w:shd w:fill="FFFFFF"/>
            <w:tcMar>
              <w:top w:w="80" w:type="dxa"/>
              <w:bottom w:w="80" w:type="dxa"/>
              <w:left w:w="120" w:type="dxa"/>
              <w:right w:w="120" w:type="dxa"/>
            </w:tcMar>
          </w:tcPr>
          <w:p>
            <w:pPr>
              <w:jc w:val="left"/>
            </w:pPr>
            <w:r>
              <w:rPr>
                <w:rFonts w:ascii="Calibri" w:hAnsi="Calibri"/>
                <w:color w:val="282828"/>
                <w:sz w:val="18"/>
              </w:rPr>
              <w:t>test_merge_adds_columns</w:t>
            </w:r>
          </w:p>
        </w:tc>
        <w:tc>
          <w:tcPr>
            <w:tcW w:type="dxa" w:w="3312"/>
            <w:shd w:fill="FFFFFF"/>
            <w:tcMar>
              <w:top w:w="80" w:type="dxa"/>
              <w:bottom w:w="80" w:type="dxa"/>
              <w:left w:w="120" w:type="dxa"/>
              <w:right w:w="120" w:type="dxa"/>
            </w:tcMar>
          </w:tcPr>
          <w:p>
            <w:pPr>
              <w:jc w:val="left"/>
            </w:pPr>
            <w:r>
              <w:rPr>
                <w:rFonts w:ascii="Calibri" w:hAnsi="Calibri"/>
                <w:color w:val="282828"/>
                <w:sz w:val="18"/>
              </w:rPr>
              <w:t>Verify merged dataframe has at least 15 columns with store/features</w:t>
            </w:r>
          </w:p>
        </w:tc>
        <w:tc>
          <w:tcPr>
            <w:tcW w:type="dxa" w:w="1152"/>
            <w:shd w:fill="FFFFFF"/>
            <w:tcMar>
              <w:top w:w="80" w:type="dxa"/>
              <w:bottom w:w="80" w:type="dxa"/>
              <w:left w:w="120" w:type="dxa"/>
              <w:right w:w="120" w:type="dxa"/>
            </w:tcMar>
          </w:tcPr>
          <w:p>
            <w:pPr>
              <w:jc w:val="center"/>
            </w:pPr>
            <w:r>
              <w:rPr>
                <w:rFonts w:ascii="Calibri" w:hAnsi="Calibri"/>
                <w:color w:val="282828"/>
                <w:sz w:val="18"/>
              </w:rPr>
              <w:t>PASS</w:t>
            </w:r>
          </w:p>
        </w:tc>
      </w:tr>
      <w:tr>
        <w:tc>
          <w:tcPr>
            <w:tcW w:type="dxa" w:w="1296"/>
            <w:shd w:fill="F9FAFC"/>
            <w:tcMar>
              <w:top w:w="80" w:type="dxa"/>
              <w:bottom w:w="80" w:type="dxa"/>
              <w:left w:w="120" w:type="dxa"/>
              <w:right w:w="120" w:type="dxa"/>
            </w:tcMar>
          </w:tcPr>
          <w:p>
            <w:pPr>
              <w:jc w:val="center"/>
            </w:pPr>
            <w:r>
              <w:rPr>
                <w:rFonts w:ascii="Calibri" w:hAnsi="Calibri"/>
                <w:color w:val="282828"/>
                <w:sz w:val="18"/>
              </w:rPr>
              <w:t>TC-08</w:t>
            </w:r>
          </w:p>
        </w:tc>
        <w:tc>
          <w:tcPr>
            <w:tcW w:type="dxa" w:w="3168"/>
            <w:shd w:fill="F9FAFC"/>
            <w:tcMar>
              <w:top w:w="80" w:type="dxa"/>
              <w:bottom w:w="80" w:type="dxa"/>
              <w:left w:w="120" w:type="dxa"/>
              <w:right w:w="120" w:type="dxa"/>
            </w:tcMar>
          </w:tcPr>
          <w:p>
            <w:pPr>
              <w:jc w:val="left"/>
            </w:pPr>
            <w:r>
              <w:rPr>
                <w:rFonts w:ascii="Calibri" w:hAnsi="Calibri"/>
                <w:color w:val="282828"/>
                <w:sz w:val="18"/>
              </w:rPr>
              <w:t>test_temporal_features_created</w:t>
            </w:r>
          </w:p>
        </w:tc>
        <w:tc>
          <w:tcPr>
            <w:tcW w:type="dxa" w:w="3312"/>
            <w:shd w:fill="F9FAFC"/>
            <w:tcMar>
              <w:top w:w="80" w:type="dxa"/>
              <w:bottom w:w="80" w:type="dxa"/>
              <w:left w:w="120" w:type="dxa"/>
              <w:right w:w="120" w:type="dxa"/>
            </w:tcMar>
          </w:tcPr>
          <w:p>
            <w:pPr>
              <w:jc w:val="left"/>
            </w:pPr>
            <w:r>
              <w:rPr>
                <w:rFonts w:ascii="Calibri" w:hAnsi="Calibri"/>
                <w:color w:val="282828"/>
                <w:sz w:val="18"/>
              </w:rPr>
              <w:t>Verify Year, Month, WeekOfYear, DayOfWeek, Quarter are added</w:t>
            </w:r>
          </w:p>
        </w:tc>
        <w:tc>
          <w:tcPr>
            <w:tcW w:type="dxa" w:w="1152"/>
            <w:shd w:fill="F9FAFC"/>
            <w:tcMar>
              <w:top w:w="80" w:type="dxa"/>
              <w:bottom w:w="80" w:type="dxa"/>
              <w:left w:w="120" w:type="dxa"/>
              <w:right w:w="120" w:type="dxa"/>
            </w:tcMar>
          </w:tcPr>
          <w:p>
            <w:pPr>
              <w:jc w:val="center"/>
            </w:pPr>
            <w:r>
              <w:rPr>
                <w:rFonts w:ascii="Calibri" w:hAnsi="Calibri"/>
                <w:color w:val="282828"/>
                <w:sz w:val="18"/>
              </w:rPr>
              <w:t>PASS</w:t>
            </w:r>
          </w:p>
        </w:tc>
      </w:tr>
      <w:tr>
        <w:tc>
          <w:tcPr>
            <w:tcW w:type="dxa" w:w="1296"/>
            <w:shd w:fill="FFFFFF"/>
            <w:tcMar>
              <w:top w:w="80" w:type="dxa"/>
              <w:bottom w:w="80" w:type="dxa"/>
              <w:left w:w="120" w:type="dxa"/>
              <w:right w:w="120" w:type="dxa"/>
            </w:tcMar>
          </w:tcPr>
          <w:p>
            <w:pPr>
              <w:jc w:val="center"/>
            </w:pPr>
            <w:r>
              <w:rPr>
                <w:rFonts w:ascii="Calibri" w:hAnsi="Calibri"/>
                <w:color w:val="282828"/>
                <w:sz w:val="18"/>
              </w:rPr>
              <w:t>TC-09</w:t>
            </w:r>
          </w:p>
        </w:tc>
        <w:tc>
          <w:tcPr>
            <w:tcW w:type="dxa" w:w="3168"/>
            <w:shd w:fill="FFFFFF"/>
            <w:tcMar>
              <w:top w:w="80" w:type="dxa"/>
              <w:bottom w:w="80" w:type="dxa"/>
              <w:left w:w="120" w:type="dxa"/>
              <w:right w:w="120" w:type="dxa"/>
            </w:tcMar>
          </w:tcPr>
          <w:p>
            <w:pPr>
              <w:jc w:val="left"/>
            </w:pPr>
            <w:r>
              <w:rPr>
                <w:rFonts w:ascii="Calibri" w:hAnsi="Calibri"/>
                <w:color w:val="282828"/>
                <w:sz w:val="18"/>
              </w:rPr>
              <w:t>test_derived_features_created</w:t>
            </w:r>
          </w:p>
        </w:tc>
        <w:tc>
          <w:tcPr>
            <w:tcW w:type="dxa" w:w="3312"/>
            <w:shd w:fill="FFFFFF"/>
            <w:tcMar>
              <w:top w:w="80" w:type="dxa"/>
              <w:bottom w:w="80" w:type="dxa"/>
              <w:left w:w="120" w:type="dxa"/>
              <w:right w:w="120" w:type="dxa"/>
            </w:tcMar>
          </w:tcPr>
          <w:p>
            <w:pPr>
              <w:jc w:val="left"/>
            </w:pPr>
            <w:r>
              <w:rPr>
                <w:rFonts w:ascii="Calibri" w:hAnsi="Calibri"/>
                <w:color w:val="282828"/>
                <w:sz w:val="18"/>
              </w:rPr>
              <w:t>Verify TotalMarkDown and HasMarkDown columns are properly computed</w:t>
            </w:r>
          </w:p>
        </w:tc>
        <w:tc>
          <w:tcPr>
            <w:tcW w:type="dxa" w:w="1152"/>
            <w:shd w:fill="FFFFFF"/>
            <w:tcMar>
              <w:top w:w="80" w:type="dxa"/>
              <w:bottom w:w="80" w:type="dxa"/>
              <w:left w:w="120" w:type="dxa"/>
              <w:right w:w="120" w:type="dxa"/>
            </w:tcMar>
          </w:tcPr>
          <w:p>
            <w:pPr>
              <w:jc w:val="center"/>
            </w:pPr>
            <w:r>
              <w:rPr>
                <w:rFonts w:ascii="Calibri" w:hAnsi="Calibri"/>
                <w:color w:val="282828"/>
                <w:sz w:val="18"/>
              </w:rPr>
              <w:t>PASS</w:t>
            </w:r>
          </w:p>
        </w:tc>
      </w:tr>
      <w:tr>
        <w:tc>
          <w:tcPr>
            <w:tcW w:type="dxa" w:w="1296"/>
            <w:shd w:fill="F9FAFC"/>
            <w:tcMar>
              <w:top w:w="80" w:type="dxa"/>
              <w:bottom w:w="80" w:type="dxa"/>
              <w:left w:w="120" w:type="dxa"/>
              <w:right w:w="120" w:type="dxa"/>
            </w:tcMar>
          </w:tcPr>
          <w:p>
            <w:pPr>
              <w:jc w:val="center"/>
            </w:pPr>
            <w:r>
              <w:rPr>
                <w:rFonts w:ascii="Calibri" w:hAnsi="Calibri"/>
                <w:color w:val="282828"/>
                <w:sz w:val="18"/>
              </w:rPr>
              <w:t>TC-10</w:t>
            </w:r>
          </w:p>
        </w:tc>
        <w:tc>
          <w:tcPr>
            <w:tcW w:type="dxa" w:w="3168"/>
            <w:shd w:fill="F9FAFC"/>
            <w:tcMar>
              <w:top w:w="80" w:type="dxa"/>
              <w:bottom w:w="80" w:type="dxa"/>
              <w:left w:w="120" w:type="dxa"/>
              <w:right w:w="120" w:type="dxa"/>
            </w:tcMar>
          </w:tcPr>
          <w:p>
            <w:pPr>
              <w:jc w:val="left"/>
            </w:pPr>
            <w:r>
              <w:rPr>
                <w:rFonts w:ascii="Calibri" w:hAnsi="Calibri"/>
                <w:color w:val="282828"/>
                <w:sz w:val="18"/>
              </w:rPr>
              <w:t>test_no_target_leakage</w:t>
            </w:r>
          </w:p>
        </w:tc>
        <w:tc>
          <w:tcPr>
            <w:tcW w:type="dxa" w:w="3312"/>
            <w:shd w:fill="F9FAFC"/>
            <w:tcMar>
              <w:top w:w="80" w:type="dxa"/>
              <w:bottom w:w="80" w:type="dxa"/>
              <w:left w:w="120" w:type="dxa"/>
              <w:right w:w="120" w:type="dxa"/>
            </w:tcMar>
          </w:tcPr>
          <w:p>
            <w:pPr>
              <w:jc w:val="left"/>
            </w:pPr>
            <w:r>
              <w:rPr>
                <w:rFonts w:ascii="Calibri" w:hAnsi="Calibri"/>
                <w:color w:val="282828"/>
                <w:sz w:val="18"/>
              </w:rPr>
              <w:t>Verify feature matrix X does NOT contain target column Weekly_Sales</w:t>
            </w:r>
          </w:p>
        </w:tc>
        <w:tc>
          <w:tcPr>
            <w:tcW w:type="dxa" w:w="1152"/>
            <w:shd w:fill="F9FAFC"/>
            <w:tcMar>
              <w:top w:w="80" w:type="dxa"/>
              <w:bottom w:w="80" w:type="dxa"/>
              <w:left w:w="120" w:type="dxa"/>
              <w:right w:w="120" w:type="dxa"/>
            </w:tcMar>
          </w:tcPr>
          <w:p>
            <w:pPr>
              <w:jc w:val="center"/>
            </w:pPr>
            <w:r>
              <w:rPr>
                <w:rFonts w:ascii="Calibri" w:hAnsi="Calibri"/>
                <w:color w:val="282828"/>
                <w:sz w:val="18"/>
              </w:rPr>
              <w:t>PASS</w:t>
            </w:r>
          </w:p>
        </w:tc>
      </w:tr>
      <w:tr>
        <w:tc>
          <w:tcPr>
            <w:tcW w:type="dxa" w:w="1296"/>
            <w:shd w:fill="FFFFFF"/>
            <w:tcMar>
              <w:top w:w="80" w:type="dxa"/>
              <w:bottom w:w="80" w:type="dxa"/>
              <w:left w:w="120" w:type="dxa"/>
              <w:right w:w="120" w:type="dxa"/>
            </w:tcMar>
          </w:tcPr>
          <w:p>
            <w:pPr>
              <w:jc w:val="center"/>
            </w:pPr>
            <w:r>
              <w:rPr>
                <w:rFonts w:ascii="Calibri" w:hAnsi="Calibri"/>
                <w:color w:val="282828"/>
                <w:sz w:val="18"/>
              </w:rPr>
              <w:t>TC-11</w:t>
            </w:r>
          </w:p>
        </w:tc>
        <w:tc>
          <w:tcPr>
            <w:tcW w:type="dxa" w:w="3168"/>
            <w:shd w:fill="FFFFFF"/>
            <w:tcMar>
              <w:top w:w="80" w:type="dxa"/>
              <w:bottom w:w="80" w:type="dxa"/>
              <w:left w:w="120" w:type="dxa"/>
              <w:right w:w="120" w:type="dxa"/>
            </w:tcMar>
          </w:tcPr>
          <w:p>
            <w:pPr>
              <w:jc w:val="left"/>
            </w:pPr>
            <w:r>
              <w:rPr>
                <w:rFonts w:ascii="Calibri" w:hAnsi="Calibri"/>
                <w:color w:val="282828"/>
                <w:sz w:val="18"/>
              </w:rPr>
              <w:t>test_no_missing_values</w:t>
            </w:r>
          </w:p>
        </w:tc>
        <w:tc>
          <w:tcPr>
            <w:tcW w:type="dxa" w:w="3312"/>
            <w:shd w:fill="FFFFFF"/>
            <w:tcMar>
              <w:top w:w="80" w:type="dxa"/>
              <w:bottom w:w="80" w:type="dxa"/>
              <w:left w:w="120" w:type="dxa"/>
              <w:right w:w="120" w:type="dxa"/>
            </w:tcMar>
          </w:tcPr>
          <w:p>
            <w:pPr>
              <w:jc w:val="left"/>
            </w:pPr>
            <w:r>
              <w:rPr>
                <w:rFonts w:ascii="Calibri" w:hAnsi="Calibri"/>
                <w:color w:val="282828"/>
                <w:sz w:val="18"/>
              </w:rPr>
              <w:t>Verify feature engineered matrix contains exactly 0 NaN values</w:t>
            </w:r>
          </w:p>
        </w:tc>
        <w:tc>
          <w:tcPr>
            <w:tcW w:type="dxa" w:w="1152"/>
            <w:shd w:fill="FFFFFF"/>
            <w:tcMar>
              <w:top w:w="80" w:type="dxa"/>
              <w:bottom w:w="80" w:type="dxa"/>
              <w:left w:w="120" w:type="dxa"/>
              <w:right w:w="120" w:type="dxa"/>
            </w:tcMar>
          </w:tcPr>
          <w:p>
            <w:pPr>
              <w:jc w:val="center"/>
            </w:pPr>
            <w:r>
              <w:rPr>
                <w:rFonts w:ascii="Calibri" w:hAnsi="Calibri"/>
                <w:color w:val="282828"/>
                <w:sz w:val="18"/>
              </w:rPr>
              <w:t>PASS</w:t>
            </w:r>
          </w:p>
        </w:tc>
      </w:tr>
      <w:tr>
        <w:tc>
          <w:tcPr>
            <w:tcW w:type="dxa" w:w="1296"/>
            <w:shd w:fill="F9FAFC"/>
            <w:tcMar>
              <w:top w:w="80" w:type="dxa"/>
              <w:bottom w:w="80" w:type="dxa"/>
              <w:left w:w="120" w:type="dxa"/>
              <w:right w:w="120" w:type="dxa"/>
            </w:tcMar>
          </w:tcPr>
          <w:p>
            <w:pPr>
              <w:jc w:val="center"/>
            </w:pPr>
            <w:r>
              <w:rPr>
                <w:rFonts w:ascii="Calibri" w:hAnsi="Calibri"/>
                <w:color w:val="282828"/>
                <w:sz w:val="18"/>
              </w:rPr>
              <w:t>TC-12</w:t>
            </w:r>
          </w:p>
        </w:tc>
        <w:tc>
          <w:tcPr>
            <w:tcW w:type="dxa" w:w="3168"/>
            <w:shd w:fill="F9FAFC"/>
            <w:tcMar>
              <w:top w:w="80" w:type="dxa"/>
              <w:bottom w:w="80" w:type="dxa"/>
              <w:left w:w="120" w:type="dxa"/>
              <w:right w:w="120" w:type="dxa"/>
            </w:tcMar>
          </w:tcPr>
          <w:p>
            <w:pPr>
              <w:jc w:val="left"/>
            </w:pPr>
            <w:r>
              <w:rPr>
                <w:rFonts w:ascii="Calibri" w:hAnsi="Calibri"/>
                <w:color w:val="282828"/>
                <w:sz w:val="18"/>
              </w:rPr>
              <w:t>test_markdowns_filled</w:t>
            </w:r>
          </w:p>
        </w:tc>
        <w:tc>
          <w:tcPr>
            <w:tcW w:type="dxa" w:w="3312"/>
            <w:shd w:fill="F9FAFC"/>
            <w:tcMar>
              <w:top w:w="80" w:type="dxa"/>
              <w:bottom w:w="80" w:type="dxa"/>
              <w:left w:w="120" w:type="dxa"/>
              <w:right w:w="120" w:type="dxa"/>
            </w:tcMar>
          </w:tcPr>
          <w:p>
            <w:pPr>
              <w:jc w:val="left"/>
            </w:pPr>
            <w:r>
              <w:rPr>
                <w:rFonts w:ascii="Calibri" w:hAnsi="Calibri"/>
                <w:color w:val="282828"/>
                <w:sz w:val="18"/>
              </w:rPr>
              <w:t>Verify missing MarkDown values are imputed with 0.0 without NaNs</w:t>
            </w:r>
          </w:p>
        </w:tc>
        <w:tc>
          <w:tcPr>
            <w:tcW w:type="dxa" w:w="1152"/>
            <w:shd w:fill="F9FAFC"/>
            <w:tcMar>
              <w:top w:w="80" w:type="dxa"/>
              <w:bottom w:w="80" w:type="dxa"/>
              <w:left w:w="120" w:type="dxa"/>
              <w:right w:w="120" w:type="dxa"/>
            </w:tcMar>
          </w:tcPr>
          <w:p>
            <w:pPr>
              <w:jc w:val="center"/>
            </w:pPr>
            <w:r>
              <w:rPr>
                <w:rFonts w:ascii="Calibri" w:hAnsi="Calibri"/>
                <w:color w:val="282828"/>
                <w:sz w:val="18"/>
              </w:rPr>
              <w:t>PASS</w:t>
            </w:r>
          </w:p>
        </w:tc>
      </w:tr>
      <w:tr>
        <w:tc>
          <w:tcPr>
            <w:tcW w:type="dxa" w:w="1296"/>
            <w:shd w:fill="FFFFFF"/>
            <w:tcMar>
              <w:top w:w="80" w:type="dxa"/>
              <w:bottom w:w="80" w:type="dxa"/>
              <w:left w:w="120" w:type="dxa"/>
              <w:right w:w="120" w:type="dxa"/>
            </w:tcMar>
          </w:tcPr>
          <w:p>
            <w:pPr>
              <w:jc w:val="center"/>
            </w:pPr>
            <w:r>
              <w:rPr>
                <w:rFonts w:ascii="Calibri" w:hAnsi="Calibri"/>
                <w:color w:val="282828"/>
                <w:sz w:val="18"/>
              </w:rPr>
              <w:t>TC-13</w:t>
            </w:r>
          </w:p>
        </w:tc>
        <w:tc>
          <w:tcPr>
            <w:tcW w:type="dxa" w:w="3168"/>
            <w:shd w:fill="FFFFFF"/>
            <w:tcMar>
              <w:top w:w="80" w:type="dxa"/>
              <w:bottom w:w="80" w:type="dxa"/>
              <w:left w:w="120" w:type="dxa"/>
              <w:right w:w="120" w:type="dxa"/>
            </w:tcMar>
          </w:tcPr>
          <w:p>
            <w:pPr>
              <w:jc w:val="left"/>
            </w:pPr>
            <w:r>
              <w:rPr>
                <w:rFonts w:ascii="Calibri" w:hAnsi="Calibri"/>
                <w:color w:val="282828"/>
                <w:sz w:val="18"/>
              </w:rPr>
              <w:t>test_model_loads</w:t>
            </w:r>
          </w:p>
        </w:tc>
        <w:tc>
          <w:tcPr>
            <w:tcW w:type="dxa" w:w="3312"/>
            <w:shd w:fill="FFFFFF"/>
            <w:tcMar>
              <w:top w:w="80" w:type="dxa"/>
              <w:bottom w:w="80" w:type="dxa"/>
              <w:left w:w="120" w:type="dxa"/>
              <w:right w:w="120" w:type="dxa"/>
            </w:tcMar>
          </w:tcPr>
          <w:p>
            <w:pPr>
              <w:jc w:val="left"/>
            </w:pPr>
            <w:r>
              <w:rPr>
                <w:rFonts w:ascii="Calibri" w:hAnsi="Calibri"/>
                <w:color w:val="282828"/>
                <w:sz w:val="18"/>
              </w:rPr>
              <w:t>Confirm serialized model models/final_model.pkl loads via joblib</w:t>
            </w:r>
          </w:p>
        </w:tc>
        <w:tc>
          <w:tcPr>
            <w:tcW w:type="dxa" w:w="1152"/>
            <w:shd w:fill="FFFFFF"/>
            <w:tcMar>
              <w:top w:w="80" w:type="dxa"/>
              <w:bottom w:w="80" w:type="dxa"/>
              <w:left w:w="120" w:type="dxa"/>
              <w:right w:w="120" w:type="dxa"/>
            </w:tcMar>
          </w:tcPr>
          <w:p>
            <w:pPr>
              <w:jc w:val="center"/>
            </w:pPr>
            <w:r>
              <w:rPr>
                <w:rFonts w:ascii="Calibri" w:hAnsi="Calibri"/>
                <w:color w:val="282828"/>
                <w:sz w:val="18"/>
              </w:rPr>
              <w:t>PASS</w:t>
            </w:r>
          </w:p>
        </w:tc>
      </w:tr>
      <w:tr>
        <w:tc>
          <w:tcPr>
            <w:tcW w:type="dxa" w:w="1296"/>
            <w:shd w:fill="F9FAFC"/>
            <w:tcMar>
              <w:top w:w="80" w:type="dxa"/>
              <w:bottom w:w="80" w:type="dxa"/>
              <w:left w:w="120" w:type="dxa"/>
              <w:right w:w="120" w:type="dxa"/>
            </w:tcMar>
          </w:tcPr>
          <w:p>
            <w:pPr>
              <w:jc w:val="center"/>
            </w:pPr>
            <w:r>
              <w:rPr>
                <w:rFonts w:ascii="Calibri" w:hAnsi="Calibri"/>
                <w:color w:val="282828"/>
                <w:sz w:val="18"/>
              </w:rPr>
              <w:t>TC-14</w:t>
            </w:r>
          </w:p>
        </w:tc>
        <w:tc>
          <w:tcPr>
            <w:tcW w:type="dxa" w:w="3168"/>
            <w:shd w:fill="F9FAFC"/>
            <w:tcMar>
              <w:top w:w="80" w:type="dxa"/>
              <w:bottom w:w="80" w:type="dxa"/>
              <w:left w:w="120" w:type="dxa"/>
              <w:right w:w="120" w:type="dxa"/>
            </w:tcMar>
          </w:tcPr>
          <w:p>
            <w:pPr>
              <w:jc w:val="left"/>
            </w:pPr>
            <w:r>
              <w:rPr>
                <w:rFonts w:ascii="Calibri" w:hAnsi="Calibri"/>
                <w:color w:val="282828"/>
                <w:sz w:val="18"/>
              </w:rPr>
              <w:t>test_feature_columns_load</w:t>
            </w:r>
          </w:p>
        </w:tc>
        <w:tc>
          <w:tcPr>
            <w:tcW w:type="dxa" w:w="3312"/>
            <w:shd w:fill="F9FAFC"/>
            <w:tcMar>
              <w:top w:w="80" w:type="dxa"/>
              <w:bottom w:w="80" w:type="dxa"/>
              <w:left w:w="120" w:type="dxa"/>
              <w:right w:w="120" w:type="dxa"/>
            </w:tcMar>
          </w:tcPr>
          <w:p>
            <w:pPr>
              <w:jc w:val="left"/>
            </w:pPr>
            <w:r>
              <w:rPr>
                <w:rFonts w:ascii="Calibri" w:hAnsi="Calibri"/>
                <w:color w:val="282828"/>
                <w:sz w:val="18"/>
              </w:rPr>
              <w:t>Confirm models/feature_columns.pkl loads and matches 23 features</w:t>
            </w:r>
          </w:p>
        </w:tc>
        <w:tc>
          <w:tcPr>
            <w:tcW w:type="dxa" w:w="1152"/>
            <w:shd w:fill="F9FAFC"/>
            <w:tcMar>
              <w:top w:w="80" w:type="dxa"/>
              <w:bottom w:w="80" w:type="dxa"/>
              <w:left w:w="120" w:type="dxa"/>
              <w:right w:w="120" w:type="dxa"/>
            </w:tcMar>
          </w:tcPr>
          <w:p>
            <w:pPr>
              <w:jc w:val="center"/>
            </w:pPr>
            <w:r>
              <w:rPr>
                <w:rFonts w:ascii="Calibri" w:hAnsi="Calibri"/>
                <w:color w:val="282828"/>
                <w:sz w:val="18"/>
              </w:rPr>
              <w:t>PASS</w:t>
            </w:r>
          </w:p>
        </w:tc>
      </w:tr>
      <w:tr>
        <w:tc>
          <w:tcPr>
            <w:tcW w:type="dxa" w:w="1296"/>
            <w:shd w:fill="FFFFFF"/>
            <w:tcMar>
              <w:top w:w="80" w:type="dxa"/>
              <w:bottom w:w="80" w:type="dxa"/>
              <w:left w:w="120" w:type="dxa"/>
              <w:right w:w="120" w:type="dxa"/>
            </w:tcMar>
          </w:tcPr>
          <w:p>
            <w:pPr>
              <w:jc w:val="center"/>
            </w:pPr>
            <w:r>
              <w:rPr>
                <w:rFonts w:ascii="Calibri" w:hAnsi="Calibri"/>
                <w:color w:val="282828"/>
                <w:sz w:val="18"/>
              </w:rPr>
              <w:t>TC-15</w:t>
            </w:r>
          </w:p>
        </w:tc>
        <w:tc>
          <w:tcPr>
            <w:tcW w:type="dxa" w:w="3168"/>
            <w:shd w:fill="FFFFFF"/>
            <w:tcMar>
              <w:top w:w="80" w:type="dxa"/>
              <w:bottom w:w="80" w:type="dxa"/>
              <w:left w:w="120" w:type="dxa"/>
              <w:right w:w="120" w:type="dxa"/>
            </w:tcMar>
          </w:tcPr>
          <w:p>
            <w:pPr>
              <w:jc w:val="left"/>
            </w:pPr>
            <w:r>
              <w:rPr>
                <w:rFonts w:ascii="Calibri" w:hAnsi="Calibri"/>
                <w:color w:val="282828"/>
                <w:sz w:val="18"/>
              </w:rPr>
              <w:t>test_prediction_returns_number</w:t>
            </w:r>
          </w:p>
        </w:tc>
        <w:tc>
          <w:tcPr>
            <w:tcW w:type="dxa" w:w="3312"/>
            <w:shd w:fill="FFFFFF"/>
            <w:tcMar>
              <w:top w:w="80" w:type="dxa"/>
              <w:bottom w:w="80" w:type="dxa"/>
              <w:left w:w="120" w:type="dxa"/>
              <w:right w:w="120" w:type="dxa"/>
            </w:tcMar>
          </w:tcPr>
          <w:p>
            <w:pPr>
              <w:jc w:val="left"/>
            </w:pPr>
            <w:r>
              <w:rPr>
                <w:rFonts w:ascii="Calibri" w:hAnsi="Calibri"/>
                <w:color w:val="282828"/>
                <w:sz w:val="18"/>
              </w:rPr>
              <w:t>Test sample inference generates a valid non-null numerical prediction</w:t>
            </w:r>
          </w:p>
        </w:tc>
        <w:tc>
          <w:tcPr>
            <w:tcW w:type="dxa" w:w="1152"/>
            <w:shd w:fill="FFFFFF"/>
            <w:tcMar>
              <w:top w:w="80" w:type="dxa"/>
              <w:bottom w:w="80" w:type="dxa"/>
              <w:left w:w="120" w:type="dxa"/>
              <w:right w:w="120" w:type="dxa"/>
            </w:tcMar>
          </w:tcPr>
          <w:p>
            <w:pPr>
              <w:jc w:val="center"/>
            </w:pPr>
            <w:r>
              <w:rPr>
                <w:rFonts w:ascii="Calibri" w:hAnsi="Calibri"/>
                <w:color w:val="282828"/>
                <w:sz w:val="18"/>
              </w:rPr>
              <w:t>PASS</w:t>
            </w:r>
          </w:p>
        </w:tc>
      </w:tr>
      <w:tr>
        <w:tc>
          <w:tcPr>
            <w:tcW w:type="dxa" w:w="1296"/>
            <w:shd w:fill="F9FAFC"/>
            <w:tcMar>
              <w:top w:w="80" w:type="dxa"/>
              <w:bottom w:w="80" w:type="dxa"/>
              <w:left w:w="120" w:type="dxa"/>
              <w:right w:w="120" w:type="dxa"/>
            </w:tcMar>
          </w:tcPr>
          <w:p>
            <w:pPr>
              <w:jc w:val="center"/>
            </w:pPr>
            <w:r>
              <w:rPr>
                <w:rFonts w:ascii="Calibri" w:hAnsi="Calibri"/>
                <w:color w:val="282828"/>
                <w:sz w:val="18"/>
              </w:rPr>
              <w:t>TC-16</w:t>
            </w:r>
          </w:p>
        </w:tc>
        <w:tc>
          <w:tcPr>
            <w:tcW w:type="dxa" w:w="3168"/>
            <w:shd w:fill="F9FAFC"/>
            <w:tcMar>
              <w:top w:w="80" w:type="dxa"/>
              <w:bottom w:w="80" w:type="dxa"/>
              <w:left w:w="120" w:type="dxa"/>
              <w:right w:w="120" w:type="dxa"/>
            </w:tcMar>
          </w:tcPr>
          <w:p>
            <w:pPr>
              <w:jc w:val="left"/>
            </w:pPr>
            <w:r>
              <w:rPr>
                <w:rFonts w:ascii="Calibri" w:hAnsi="Calibri"/>
                <w:color w:val="282828"/>
                <w:sz w:val="18"/>
              </w:rPr>
              <w:t>test_prediction_reasonable_range</w:t>
            </w:r>
          </w:p>
        </w:tc>
        <w:tc>
          <w:tcPr>
            <w:tcW w:type="dxa" w:w="3312"/>
            <w:shd w:fill="F9FAFC"/>
            <w:tcMar>
              <w:top w:w="80" w:type="dxa"/>
              <w:bottom w:w="80" w:type="dxa"/>
              <w:left w:w="120" w:type="dxa"/>
              <w:right w:w="120" w:type="dxa"/>
            </w:tcMar>
          </w:tcPr>
          <w:p>
            <w:pPr>
              <w:jc w:val="left"/>
            </w:pPr>
            <w:r>
              <w:rPr>
                <w:rFonts w:ascii="Calibri" w:hAnsi="Calibri"/>
                <w:color w:val="282828"/>
                <w:sz w:val="18"/>
              </w:rPr>
              <w:t>Test prediction falls within realistic range (-$10,000 to $1,000,000)</w:t>
            </w:r>
          </w:p>
        </w:tc>
        <w:tc>
          <w:tcPr>
            <w:tcW w:type="dxa" w:w="1152"/>
            <w:shd w:fill="F9FAFC"/>
            <w:tcMar>
              <w:top w:w="80" w:type="dxa"/>
              <w:bottom w:w="80" w:type="dxa"/>
              <w:left w:w="120" w:type="dxa"/>
              <w:right w:w="120" w:type="dxa"/>
            </w:tcMar>
          </w:tcPr>
          <w:p>
            <w:pPr>
              <w:jc w:val="center"/>
            </w:pPr>
            <w:r>
              <w:rPr>
                <w:rFonts w:ascii="Calibri" w:hAnsi="Calibri"/>
                <w:color w:val="282828"/>
                <w:sz w:val="18"/>
              </w:rPr>
              <w:t>PASS</w:t>
            </w:r>
          </w:p>
        </w:tc>
      </w:tr>
    </w:tbl>
    <w:p>
      <w:pPr>
        <w:spacing w:after="280" w:before="80" w:line="276" w:lineRule="auto"/>
        <w:jc w:val="center"/>
      </w:pPr>
      <w:r>
        <w:rPr>
          <w:rFonts w:ascii="Calibri" w:hAnsi="Calibri"/>
          <w:color w:val="282828"/>
          <w:sz w:val="22"/>
        </w:rPr>
        <w:t>Table 17.1: Automated Pytest Test Suite Results (16 Cases)</w:t>
      </w:r>
    </w:p>
    <w:p>
      <w:pPr>
        <w:keepNext/>
        <w:spacing w:before="360" w:after="160"/>
      </w:pPr>
      <w:r>
        <w:rPr>
          <w:rFonts w:ascii="Calibri" w:hAnsi="Calibri"/>
          <w:b/>
          <w:color w:val="1F4E79"/>
          <w:sz w:val="32"/>
        </w:rPr>
        <w:t>18. RESULTS AND DISCUSSION</w:t>
      </w:r>
    </w:p>
    <w:p>
      <w:pPr>
        <w:spacing w:after="120" w:before="0" w:line="276" w:lineRule="auto"/>
        <w:jc w:val="both"/>
      </w:pPr>
      <w:r>
        <w:rPr>
          <w:rFonts w:ascii="Calibri" w:hAnsi="Calibri"/>
          <w:color w:val="282828"/>
          <w:sz w:val="22"/>
        </w:rPr>
        <w:t>A deep analytical synthesis of the final Random Forest model's behavior was conducted on the holdout validation partition, focusing on actual versus predicted correspondence, residual error distributions, and feature importance:</w:t>
      </w:r>
    </w:p>
    <w:p>
      <w:pPr>
        <w:keepNext/>
        <w:spacing w:before="200" w:after="80"/>
        <w:jc w:val="center"/>
      </w:pPr>
      <w:r>
        <w:drawing>
          <wp:inline xmlns:a="http://schemas.openxmlformats.org/drawingml/2006/main" xmlns:pic="http://schemas.openxmlformats.org/drawingml/2006/picture">
            <wp:extent cx="4389120" cy="4407734"/>
            <wp:docPr id="12" name="Picture 12"/>
            <wp:cNvGraphicFramePr>
              <a:graphicFrameLocks noChangeAspect="1"/>
            </wp:cNvGraphicFramePr>
            <a:graphic>
              <a:graphicData uri="http://schemas.openxmlformats.org/drawingml/2006/picture">
                <pic:pic>
                  <pic:nvPicPr>
                    <pic:cNvPr id="0" name="actual_vs_predicted.png"/>
                    <pic:cNvPicPr/>
                  </pic:nvPicPr>
                  <pic:blipFill>
                    <a:blip r:embed="rId22"/>
                    <a:stretch>
                      <a:fillRect/>
                    </a:stretch>
                  </pic:blipFill>
                  <pic:spPr>
                    <a:xfrm>
                      <a:off x="0" y="0"/>
                      <a:ext cx="4389120" cy="4407734"/>
                    </a:xfrm>
                    <a:prstGeom prst="rect"/>
                  </pic:spPr>
                </pic:pic>
              </a:graphicData>
            </a:graphic>
          </wp:inline>
        </w:drawing>
      </w:r>
    </w:p>
    <w:p>
      <w:pPr>
        <w:keepNext/>
        <w:spacing w:before="40" w:after="120"/>
        <w:jc w:val="center"/>
      </w:pPr>
      <w:r>
        <w:rPr>
          <w:rFonts w:ascii="Calibri" w:hAnsi="Calibri"/>
          <w:b/>
          <w:i/>
          <w:color w:val="1F4E79"/>
          <w:sz w:val="19"/>
        </w:rPr>
        <w:t>Figure 18.1: Actual vs Predicted Weekly Sales (Validation Set)</w:t>
      </w:r>
    </w:p>
    <w:p>
      <w:pPr>
        <w:spacing w:after="160" w:before="40" w:line="276" w:lineRule="auto"/>
        <w:jc w:val="both"/>
      </w:pPr>
      <w:r>
        <w:rPr>
          <w:rFonts w:ascii="Calibri" w:hAnsi="Calibri"/>
          <w:color w:val="282828"/>
          <w:sz w:val="22"/>
        </w:rPr>
        <w:t>Figure 18.1 plots actual sales versus Random Forest predictions across the 62,566 validation instances. The data points tightly hug the 45-degree diagonal equality line (red dashed line) across the entire range from $0 to $80,000. The model demonstrates exceptional tracking fidelity with minimal bias across normal and high-volume trading weeks.</w:t>
      </w:r>
    </w:p>
    <w:p>
      <w:pPr>
        <w:keepNext/>
        <w:spacing w:before="200" w:after="80"/>
        <w:jc w:val="center"/>
      </w:pPr>
      <w:r>
        <w:drawing>
          <wp:inline xmlns:a="http://schemas.openxmlformats.org/drawingml/2006/main" xmlns:pic="http://schemas.openxmlformats.org/drawingml/2006/picture">
            <wp:extent cx="4937760" cy="2445557"/>
            <wp:docPr id="13" name="Picture 13"/>
            <wp:cNvGraphicFramePr>
              <a:graphicFrameLocks noChangeAspect="1"/>
            </wp:cNvGraphicFramePr>
            <a:graphic>
              <a:graphicData uri="http://schemas.openxmlformats.org/drawingml/2006/picture">
                <pic:pic>
                  <pic:nvPicPr>
                    <pic:cNvPr id="0" name="residuals.png"/>
                    <pic:cNvPicPr/>
                  </pic:nvPicPr>
                  <pic:blipFill>
                    <a:blip r:embed="rId23"/>
                    <a:stretch>
                      <a:fillRect/>
                    </a:stretch>
                  </pic:blipFill>
                  <pic:spPr>
                    <a:xfrm>
                      <a:off x="0" y="0"/>
                      <a:ext cx="4937760" cy="2445557"/>
                    </a:xfrm>
                    <a:prstGeom prst="rect"/>
                  </pic:spPr>
                </pic:pic>
              </a:graphicData>
            </a:graphic>
          </wp:inline>
        </w:drawing>
      </w:r>
    </w:p>
    <w:p>
      <w:pPr>
        <w:keepNext/>
        <w:spacing w:before="40" w:after="120"/>
        <w:jc w:val="center"/>
      </w:pPr>
      <w:r>
        <w:rPr>
          <w:rFonts w:ascii="Calibri" w:hAnsi="Calibri"/>
          <w:b/>
          <w:i/>
          <w:color w:val="1F4E79"/>
          <w:sz w:val="19"/>
        </w:rPr>
        <w:t>Figure 18.2: Residual Error Distribution and Residual Plot</w:t>
      </w:r>
    </w:p>
    <w:p>
      <w:pPr>
        <w:spacing w:after="160" w:before="40" w:line="276" w:lineRule="auto"/>
        <w:jc w:val="both"/>
      </w:pPr>
      <w:r>
        <w:rPr>
          <w:rFonts w:ascii="Calibri" w:hAnsi="Calibri"/>
          <w:color w:val="282828"/>
          <w:sz w:val="22"/>
        </w:rPr>
        <w:t>Figure 18.2 examines model residuals (Actual - Predicted). The error distribution is symmetric and centered sharply at zero, confirming that the Random Forest model is an unbiased estimator. The residual scatter plot exhibits uniform homoscedastic variance across predicted sales ranges up to $60,000.</w:t>
      </w:r>
    </w:p>
    <w:p>
      <w:r>
        <w:br w:type="page"/>
      </w:r>
    </w:p>
    <w:p>
      <w:pPr>
        <w:keepNext/>
        <w:spacing w:before="200" w:after="80"/>
        <w:jc w:val="center"/>
      </w:pPr>
      <w:r>
        <w:drawing>
          <wp:inline xmlns:a="http://schemas.openxmlformats.org/drawingml/2006/main" xmlns:pic="http://schemas.openxmlformats.org/drawingml/2006/picture">
            <wp:extent cx="4572000" cy="3658217"/>
            <wp:docPr id="14" name="Picture 14"/>
            <wp:cNvGraphicFramePr>
              <a:graphicFrameLocks noChangeAspect="1"/>
            </wp:cNvGraphicFramePr>
            <a:graphic>
              <a:graphicData uri="http://schemas.openxmlformats.org/drawingml/2006/picture">
                <pic:pic>
                  <pic:nvPicPr>
                    <pic:cNvPr id="0" name="feature_importance.png"/>
                    <pic:cNvPicPr/>
                  </pic:nvPicPr>
                  <pic:blipFill>
                    <a:blip r:embed="rId24"/>
                    <a:stretch>
                      <a:fillRect/>
                    </a:stretch>
                  </pic:blipFill>
                  <pic:spPr>
                    <a:xfrm>
                      <a:off x="0" y="0"/>
                      <a:ext cx="4572000" cy="3658217"/>
                    </a:xfrm>
                    <a:prstGeom prst="rect"/>
                  </pic:spPr>
                </pic:pic>
              </a:graphicData>
            </a:graphic>
          </wp:inline>
        </w:drawing>
      </w:r>
    </w:p>
    <w:p>
      <w:pPr>
        <w:keepNext/>
        <w:spacing w:before="40" w:after="120"/>
        <w:jc w:val="center"/>
      </w:pPr>
      <w:r>
        <w:rPr>
          <w:rFonts w:ascii="Calibri" w:hAnsi="Calibri"/>
          <w:b/>
          <w:i/>
          <w:color w:val="1F4E79"/>
          <w:sz w:val="19"/>
        </w:rPr>
        <w:t>Figure 18.3: Permutation Feature Importance of Random Forest Model</w:t>
      </w:r>
    </w:p>
    <w:p>
      <w:pPr>
        <w:spacing w:after="160" w:before="40" w:line="276" w:lineRule="auto"/>
        <w:jc w:val="both"/>
      </w:pPr>
      <w:r>
        <w:rPr>
          <w:rFonts w:ascii="Calibri" w:hAnsi="Calibri"/>
          <w:color w:val="282828"/>
          <w:sz w:val="22"/>
        </w:rPr>
        <w:t>Figure 18.3 plots the top 10 predictors evaluated via permutation importance on the holdout set. Department identity dominates with 64.7% of total importance, followed by store physical Size (19.1%) and Store ID (5.3%). Weekly calendar position (WeekOfYear) contributes 3.8%, while macroeconomic indicators remain below 2.5%.</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872"/>
        <w:gridCol w:w="1872"/>
        <w:gridCol w:w="1872"/>
        <w:gridCol w:w="1872"/>
        <w:gridCol w:w="1872"/>
      </w:tblGrid>
      <w:tr>
        <w:tc>
          <w:tcPr>
            <w:tcW w:type="dxa" w:w="864"/>
            <w:shd w:fill="1F4E79"/>
            <w:tcMar>
              <w:top w:w="120" w:type="dxa"/>
              <w:bottom w:w="120" w:type="dxa"/>
              <w:left w:w="150" w:type="dxa"/>
              <w:right w:w="150" w:type="dxa"/>
            </w:tcMar>
          </w:tcPr>
          <w:p>
            <w:pPr>
              <w:jc w:val="center"/>
            </w:pPr>
            <w:r>
              <w:rPr>
                <w:rFonts w:ascii="Calibri" w:hAnsi="Calibri"/>
                <w:b/>
                <w:color w:val="FFFFFF"/>
                <w:sz w:val="19"/>
              </w:rPr>
              <w:t>Rank</w:t>
            </w:r>
          </w:p>
        </w:tc>
        <w:tc>
          <w:tcPr>
            <w:tcW w:type="dxa" w:w="1872"/>
            <w:shd w:fill="1F4E79"/>
            <w:tcMar>
              <w:top w:w="120" w:type="dxa"/>
              <w:bottom w:w="120" w:type="dxa"/>
              <w:left w:w="150" w:type="dxa"/>
              <w:right w:w="150" w:type="dxa"/>
            </w:tcMar>
          </w:tcPr>
          <w:p>
            <w:pPr>
              <w:jc w:val="center"/>
            </w:pPr>
            <w:r>
              <w:rPr>
                <w:rFonts w:ascii="Calibri" w:hAnsi="Calibri"/>
                <w:b/>
                <w:color w:val="FFFFFF"/>
                <w:sz w:val="19"/>
              </w:rPr>
              <w:t>Feature Name</w:t>
            </w:r>
          </w:p>
        </w:tc>
        <w:tc>
          <w:tcPr>
            <w:tcW w:type="dxa" w:w="2016"/>
            <w:shd w:fill="1F4E79"/>
            <w:tcMar>
              <w:top w:w="120" w:type="dxa"/>
              <w:bottom w:w="120" w:type="dxa"/>
              <w:left w:w="150" w:type="dxa"/>
              <w:right w:w="150" w:type="dxa"/>
            </w:tcMar>
          </w:tcPr>
          <w:p>
            <w:pPr>
              <w:jc w:val="center"/>
            </w:pPr>
            <w:r>
              <w:rPr>
                <w:rFonts w:ascii="Calibri" w:hAnsi="Calibri"/>
                <w:b/>
                <w:color w:val="FFFFFF"/>
                <w:sz w:val="19"/>
              </w:rPr>
              <w:t>Relative Importance (%)</w:t>
            </w:r>
          </w:p>
        </w:tc>
        <w:tc>
          <w:tcPr>
            <w:tcW w:type="dxa" w:w="1584"/>
            <w:shd w:fill="1F4E79"/>
            <w:tcMar>
              <w:top w:w="120" w:type="dxa"/>
              <w:bottom w:w="120" w:type="dxa"/>
              <w:left w:w="150" w:type="dxa"/>
              <w:right w:w="150" w:type="dxa"/>
            </w:tcMar>
          </w:tcPr>
          <w:p>
            <w:pPr>
              <w:jc w:val="center"/>
            </w:pPr>
            <w:r>
              <w:rPr>
                <w:rFonts w:ascii="Calibri" w:hAnsi="Calibri"/>
                <w:b/>
                <w:color w:val="FFFFFF"/>
                <w:sz w:val="19"/>
              </w:rPr>
              <w:t>Cumulative (%)</w:t>
            </w:r>
          </w:p>
        </w:tc>
        <w:tc>
          <w:tcPr>
            <w:tcW w:type="dxa" w:w="2592"/>
            <w:shd w:fill="1F4E79"/>
            <w:tcMar>
              <w:top w:w="120" w:type="dxa"/>
              <w:bottom w:w="120" w:type="dxa"/>
              <w:left w:w="150" w:type="dxa"/>
              <w:right w:w="150" w:type="dxa"/>
            </w:tcMar>
          </w:tcPr>
          <w:p>
            <w:pPr>
              <w:jc w:val="center"/>
            </w:pPr>
            <w:r>
              <w:rPr>
                <w:rFonts w:ascii="Calibri" w:hAnsi="Calibri"/>
                <w:b/>
                <w:color w:val="FFFFFF"/>
                <w:sz w:val="19"/>
              </w:rPr>
              <w:t>Analytical Interpretation</w:t>
            </w:r>
          </w:p>
        </w:tc>
      </w:tr>
      <w:tr>
        <w:tc>
          <w:tcPr>
            <w:tcW w:type="dxa" w:w="864"/>
            <w:shd w:fill="FFFFFF"/>
            <w:tcMar>
              <w:top w:w="80" w:type="dxa"/>
              <w:bottom w:w="80" w:type="dxa"/>
              <w:left w:w="120" w:type="dxa"/>
              <w:right w:w="120" w:type="dxa"/>
            </w:tcMar>
          </w:tcPr>
          <w:p>
            <w:pPr>
              <w:jc w:val="center"/>
            </w:pPr>
            <w:r>
              <w:rPr>
                <w:rFonts w:ascii="Calibri" w:hAnsi="Calibri"/>
                <w:color w:val="282828"/>
                <w:sz w:val="18"/>
              </w:rPr>
              <w:t>1</w:t>
            </w:r>
          </w:p>
        </w:tc>
        <w:tc>
          <w:tcPr>
            <w:tcW w:type="dxa" w:w="1872"/>
            <w:shd w:fill="FFFFFF"/>
            <w:tcMar>
              <w:top w:w="80" w:type="dxa"/>
              <w:bottom w:w="80" w:type="dxa"/>
              <w:left w:w="120" w:type="dxa"/>
              <w:right w:w="120" w:type="dxa"/>
            </w:tcMar>
          </w:tcPr>
          <w:p>
            <w:pPr>
              <w:jc w:val="left"/>
            </w:pPr>
            <w:r>
              <w:rPr>
                <w:rFonts w:ascii="Calibri" w:hAnsi="Calibri"/>
                <w:color w:val="282828"/>
                <w:sz w:val="18"/>
              </w:rPr>
              <w:t>Dept</w:t>
            </w:r>
          </w:p>
        </w:tc>
        <w:tc>
          <w:tcPr>
            <w:tcW w:type="dxa" w:w="2016"/>
            <w:shd w:fill="FFFFFF"/>
            <w:tcMar>
              <w:top w:w="80" w:type="dxa"/>
              <w:bottom w:w="80" w:type="dxa"/>
              <w:left w:w="120" w:type="dxa"/>
              <w:right w:w="120" w:type="dxa"/>
            </w:tcMar>
          </w:tcPr>
          <w:p>
            <w:pPr>
              <w:jc w:val="right"/>
            </w:pPr>
            <w:r>
              <w:rPr>
                <w:rFonts w:ascii="Calibri" w:hAnsi="Calibri"/>
                <w:color w:val="282828"/>
                <w:sz w:val="18"/>
              </w:rPr>
              <w:t>64.71%</w:t>
            </w:r>
          </w:p>
        </w:tc>
        <w:tc>
          <w:tcPr>
            <w:tcW w:type="dxa" w:w="1584"/>
            <w:shd w:fill="FFFFFF"/>
            <w:tcMar>
              <w:top w:w="80" w:type="dxa"/>
              <w:bottom w:w="80" w:type="dxa"/>
              <w:left w:w="120" w:type="dxa"/>
              <w:right w:w="120" w:type="dxa"/>
            </w:tcMar>
          </w:tcPr>
          <w:p>
            <w:pPr>
              <w:jc w:val="right"/>
            </w:pPr>
            <w:r>
              <w:rPr>
                <w:rFonts w:ascii="Calibri" w:hAnsi="Calibri"/>
                <w:color w:val="282828"/>
                <w:sz w:val="18"/>
              </w:rPr>
              <w:t>64.71%</w:t>
            </w:r>
          </w:p>
        </w:tc>
        <w:tc>
          <w:tcPr>
            <w:tcW w:type="dxa" w:w="2592"/>
            <w:shd w:fill="FFFFFF"/>
            <w:tcMar>
              <w:top w:w="80" w:type="dxa"/>
              <w:bottom w:w="80" w:type="dxa"/>
              <w:left w:w="120" w:type="dxa"/>
              <w:right w:w="120" w:type="dxa"/>
            </w:tcMar>
          </w:tcPr>
          <w:p>
            <w:pPr>
              <w:jc w:val="left"/>
            </w:pPr>
            <w:r>
              <w:rPr>
                <w:rFonts w:ascii="Calibri" w:hAnsi="Calibri"/>
                <w:color w:val="282828"/>
                <w:sz w:val="18"/>
              </w:rPr>
              <w:t>Primary driver of sales magnitude and product turnover speed</w:t>
            </w:r>
          </w:p>
        </w:tc>
      </w:tr>
      <w:tr>
        <w:tc>
          <w:tcPr>
            <w:tcW w:type="dxa" w:w="864"/>
            <w:shd w:fill="F9FAFC"/>
            <w:tcMar>
              <w:top w:w="80" w:type="dxa"/>
              <w:bottom w:w="80" w:type="dxa"/>
              <w:left w:w="120" w:type="dxa"/>
              <w:right w:w="120" w:type="dxa"/>
            </w:tcMar>
          </w:tcPr>
          <w:p>
            <w:pPr>
              <w:jc w:val="center"/>
            </w:pPr>
            <w:r>
              <w:rPr>
                <w:rFonts w:ascii="Calibri" w:hAnsi="Calibri"/>
                <w:color w:val="282828"/>
                <w:sz w:val="18"/>
              </w:rPr>
              <w:t>2</w:t>
            </w:r>
          </w:p>
        </w:tc>
        <w:tc>
          <w:tcPr>
            <w:tcW w:type="dxa" w:w="1872"/>
            <w:shd w:fill="F9FAFC"/>
            <w:tcMar>
              <w:top w:w="80" w:type="dxa"/>
              <w:bottom w:w="80" w:type="dxa"/>
              <w:left w:w="120" w:type="dxa"/>
              <w:right w:w="120" w:type="dxa"/>
            </w:tcMar>
          </w:tcPr>
          <w:p>
            <w:pPr>
              <w:jc w:val="left"/>
            </w:pPr>
            <w:r>
              <w:rPr>
                <w:rFonts w:ascii="Calibri" w:hAnsi="Calibri"/>
                <w:color w:val="282828"/>
                <w:sz w:val="18"/>
              </w:rPr>
              <w:t>Size</w:t>
            </w:r>
          </w:p>
        </w:tc>
        <w:tc>
          <w:tcPr>
            <w:tcW w:type="dxa" w:w="2016"/>
            <w:shd w:fill="F9FAFC"/>
            <w:tcMar>
              <w:top w:w="80" w:type="dxa"/>
              <w:bottom w:w="80" w:type="dxa"/>
              <w:left w:w="120" w:type="dxa"/>
              <w:right w:w="120" w:type="dxa"/>
            </w:tcMar>
          </w:tcPr>
          <w:p>
            <w:pPr>
              <w:jc w:val="right"/>
            </w:pPr>
            <w:r>
              <w:rPr>
                <w:rFonts w:ascii="Calibri" w:hAnsi="Calibri"/>
                <w:color w:val="282828"/>
                <w:sz w:val="18"/>
              </w:rPr>
              <w:t>19.06%</w:t>
            </w:r>
          </w:p>
        </w:tc>
        <w:tc>
          <w:tcPr>
            <w:tcW w:type="dxa" w:w="1584"/>
            <w:shd w:fill="F9FAFC"/>
            <w:tcMar>
              <w:top w:w="80" w:type="dxa"/>
              <w:bottom w:w="80" w:type="dxa"/>
              <w:left w:w="120" w:type="dxa"/>
              <w:right w:w="120" w:type="dxa"/>
            </w:tcMar>
          </w:tcPr>
          <w:p>
            <w:pPr>
              <w:jc w:val="right"/>
            </w:pPr>
            <w:r>
              <w:rPr>
                <w:rFonts w:ascii="Calibri" w:hAnsi="Calibri"/>
                <w:color w:val="282828"/>
                <w:sz w:val="18"/>
              </w:rPr>
              <w:t>83.77%</w:t>
            </w:r>
          </w:p>
        </w:tc>
        <w:tc>
          <w:tcPr>
            <w:tcW w:type="dxa" w:w="2592"/>
            <w:shd w:fill="F9FAFC"/>
            <w:tcMar>
              <w:top w:w="80" w:type="dxa"/>
              <w:bottom w:w="80" w:type="dxa"/>
              <w:left w:w="120" w:type="dxa"/>
              <w:right w:w="120" w:type="dxa"/>
            </w:tcMar>
          </w:tcPr>
          <w:p>
            <w:pPr>
              <w:jc w:val="left"/>
            </w:pPr>
            <w:r>
              <w:rPr>
                <w:rFonts w:ascii="Calibri" w:hAnsi="Calibri"/>
                <w:color w:val="282828"/>
                <w:sz w:val="18"/>
              </w:rPr>
              <w:t>Retail floor space and customer assortment capacity</w:t>
            </w:r>
          </w:p>
        </w:tc>
      </w:tr>
      <w:tr>
        <w:tc>
          <w:tcPr>
            <w:tcW w:type="dxa" w:w="864"/>
            <w:shd w:fill="FFFFFF"/>
            <w:tcMar>
              <w:top w:w="80" w:type="dxa"/>
              <w:bottom w:w="80" w:type="dxa"/>
              <w:left w:w="120" w:type="dxa"/>
              <w:right w:w="120" w:type="dxa"/>
            </w:tcMar>
          </w:tcPr>
          <w:p>
            <w:pPr>
              <w:jc w:val="center"/>
            </w:pPr>
            <w:r>
              <w:rPr>
                <w:rFonts w:ascii="Calibri" w:hAnsi="Calibri"/>
                <w:color w:val="282828"/>
                <w:sz w:val="18"/>
              </w:rPr>
              <w:t>3</w:t>
            </w:r>
          </w:p>
        </w:tc>
        <w:tc>
          <w:tcPr>
            <w:tcW w:type="dxa" w:w="1872"/>
            <w:shd w:fill="FFFFFF"/>
            <w:tcMar>
              <w:top w:w="80" w:type="dxa"/>
              <w:bottom w:w="80" w:type="dxa"/>
              <w:left w:w="120" w:type="dxa"/>
              <w:right w:w="120" w:type="dxa"/>
            </w:tcMar>
          </w:tcPr>
          <w:p>
            <w:pPr>
              <w:jc w:val="left"/>
            </w:pPr>
            <w:r>
              <w:rPr>
                <w:rFonts w:ascii="Calibri" w:hAnsi="Calibri"/>
                <w:color w:val="282828"/>
                <w:sz w:val="18"/>
              </w:rPr>
              <w:t>Store</w:t>
            </w:r>
          </w:p>
        </w:tc>
        <w:tc>
          <w:tcPr>
            <w:tcW w:type="dxa" w:w="2016"/>
            <w:shd w:fill="FFFFFF"/>
            <w:tcMar>
              <w:top w:w="80" w:type="dxa"/>
              <w:bottom w:w="80" w:type="dxa"/>
              <w:left w:w="120" w:type="dxa"/>
              <w:right w:w="120" w:type="dxa"/>
            </w:tcMar>
          </w:tcPr>
          <w:p>
            <w:pPr>
              <w:jc w:val="right"/>
            </w:pPr>
            <w:r>
              <w:rPr>
                <w:rFonts w:ascii="Calibri" w:hAnsi="Calibri"/>
                <w:color w:val="282828"/>
                <w:sz w:val="18"/>
              </w:rPr>
              <w:t>5.32%</w:t>
            </w:r>
          </w:p>
        </w:tc>
        <w:tc>
          <w:tcPr>
            <w:tcW w:type="dxa" w:w="1584"/>
            <w:shd w:fill="FFFFFF"/>
            <w:tcMar>
              <w:top w:w="80" w:type="dxa"/>
              <w:bottom w:w="80" w:type="dxa"/>
              <w:left w:w="120" w:type="dxa"/>
              <w:right w:w="120" w:type="dxa"/>
            </w:tcMar>
          </w:tcPr>
          <w:p>
            <w:pPr>
              <w:jc w:val="right"/>
            </w:pPr>
            <w:r>
              <w:rPr>
                <w:rFonts w:ascii="Calibri" w:hAnsi="Calibri"/>
                <w:color w:val="282828"/>
                <w:sz w:val="18"/>
              </w:rPr>
              <w:t>89.09%</w:t>
            </w:r>
          </w:p>
        </w:tc>
        <w:tc>
          <w:tcPr>
            <w:tcW w:type="dxa" w:w="2592"/>
            <w:shd w:fill="FFFFFF"/>
            <w:tcMar>
              <w:top w:w="80" w:type="dxa"/>
              <w:bottom w:w="80" w:type="dxa"/>
              <w:left w:w="120" w:type="dxa"/>
              <w:right w:w="120" w:type="dxa"/>
            </w:tcMar>
          </w:tcPr>
          <w:p>
            <w:pPr>
              <w:jc w:val="left"/>
            </w:pPr>
            <w:r>
              <w:rPr>
                <w:rFonts w:ascii="Calibri" w:hAnsi="Calibri"/>
                <w:color w:val="282828"/>
                <w:sz w:val="18"/>
              </w:rPr>
              <w:t>Geographic location, trade area population, and local competition</w:t>
            </w:r>
          </w:p>
        </w:tc>
      </w:tr>
      <w:tr>
        <w:tc>
          <w:tcPr>
            <w:tcW w:type="dxa" w:w="864"/>
            <w:shd w:fill="F9FAFC"/>
            <w:tcMar>
              <w:top w:w="80" w:type="dxa"/>
              <w:bottom w:w="80" w:type="dxa"/>
              <w:left w:w="120" w:type="dxa"/>
              <w:right w:w="120" w:type="dxa"/>
            </w:tcMar>
          </w:tcPr>
          <w:p>
            <w:pPr>
              <w:jc w:val="center"/>
            </w:pPr>
            <w:r>
              <w:rPr>
                <w:rFonts w:ascii="Calibri" w:hAnsi="Calibri"/>
                <w:color w:val="282828"/>
                <w:sz w:val="18"/>
              </w:rPr>
              <w:t>4</w:t>
            </w:r>
          </w:p>
        </w:tc>
        <w:tc>
          <w:tcPr>
            <w:tcW w:type="dxa" w:w="1872"/>
            <w:shd w:fill="F9FAFC"/>
            <w:tcMar>
              <w:top w:w="80" w:type="dxa"/>
              <w:bottom w:w="80" w:type="dxa"/>
              <w:left w:w="120" w:type="dxa"/>
              <w:right w:w="120" w:type="dxa"/>
            </w:tcMar>
          </w:tcPr>
          <w:p>
            <w:pPr>
              <w:jc w:val="left"/>
            </w:pPr>
            <w:r>
              <w:rPr>
                <w:rFonts w:ascii="Calibri" w:hAnsi="Calibri"/>
                <w:color w:val="282828"/>
                <w:sz w:val="18"/>
              </w:rPr>
              <w:t>WeekOfYear</w:t>
            </w:r>
          </w:p>
        </w:tc>
        <w:tc>
          <w:tcPr>
            <w:tcW w:type="dxa" w:w="2016"/>
            <w:shd w:fill="F9FAFC"/>
            <w:tcMar>
              <w:top w:w="80" w:type="dxa"/>
              <w:bottom w:w="80" w:type="dxa"/>
              <w:left w:w="120" w:type="dxa"/>
              <w:right w:w="120" w:type="dxa"/>
            </w:tcMar>
          </w:tcPr>
          <w:p>
            <w:pPr>
              <w:jc w:val="right"/>
            </w:pPr>
            <w:r>
              <w:rPr>
                <w:rFonts w:ascii="Calibri" w:hAnsi="Calibri"/>
                <w:color w:val="282828"/>
                <w:sz w:val="18"/>
              </w:rPr>
              <w:t>3.79%</w:t>
            </w:r>
          </w:p>
        </w:tc>
        <w:tc>
          <w:tcPr>
            <w:tcW w:type="dxa" w:w="1584"/>
            <w:shd w:fill="F9FAFC"/>
            <w:tcMar>
              <w:top w:w="80" w:type="dxa"/>
              <w:bottom w:w="80" w:type="dxa"/>
              <w:left w:w="120" w:type="dxa"/>
              <w:right w:w="120" w:type="dxa"/>
            </w:tcMar>
          </w:tcPr>
          <w:p>
            <w:pPr>
              <w:jc w:val="right"/>
            </w:pPr>
            <w:r>
              <w:rPr>
                <w:rFonts w:ascii="Calibri" w:hAnsi="Calibri"/>
                <w:color w:val="282828"/>
                <w:sz w:val="18"/>
              </w:rPr>
              <w:t>92.88%</w:t>
            </w:r>
          </w:p>
        </w:tc>
        <w:tc>
          <w:tcPr>
            <w:tcW w:type="dxa" w:w="2592"/>
            <w:shd w:fill="F9FAFC"/>
            <w:tcMar>
              <w:top w:w="80" w:type="dxa"/>
              <w:bottom w:w="80" w:type="dxa"/>
              <w:left w:w="120" w:type="dxa"/>
              <w:right w:w="120" w:type="dxa"/>
            </w:tcMar>
          </w:tcPr>
          <w:p>
            <w:pPr>
              <w:jc w:val="left"/>
            </w:pPr>
            <w:r>
              <w:rPr>
                <w:rFonts w:ascii="Calibri" w:hAnsi="Calibri"/>
                <w:color w:val="282828"/>
                <w:sz w:val="18"/>
              </w:rPr>
              <w:t>Captures holiday spikes, back-to-school, and seasonal rhythms</w:t>
            </w:r>
          </w:p>
        </w:tc>
      </w:tr>
      <w:tr>
        <w:tc>
          <w:tcPr>
            <w:tcW w:type="dxa" w:w="864"/>
            <w:shd w:fill="FFFFFF"/>
            <w:tcMar>
              <w:top w:w="80" w:type="dxa"/>
              <w:bottom w:w="80" w:type="dxa"/>
              <w:left w:w="120" w:type="dxa"/>
              <w:right w:w="120" w:type="dxa"/>
            </w:tcMar>
          </w:tcPr>
          <w:p>
            <w:pPr>
              <w:jc w:val="center"/>
            </w:pPr>
            <w:r>
              <w:rPr>
                <w:rFonts w:ascii="Calibri" w:hAnsi="Calibri"/>
                <w:color w:val="282828"/>
                <w:sz w:val="18"/>
              </w:rPr>
              <w:t>5</w:t>
            </w:r>
          </w:p>
        </w:tc>
        <w:tc>
          <w:tcPr>
            <w:tcW w:type="dxa" w:w="1872"/>
            <w:shd w:fill="FFFFFF"/>
            <w:tcMar>
              <w:top w:w="80" w:type="dxa"/>
              <w:bottom w:w="80" w:type="dxa"/>
              <w:left w:w="120" w:type="dxa"/>
              <w:right w:w="120" w:type="dxa"/>
            </w:tcMar>
          </w:tcPr>
          <w:p>
            <w:pPr>
              <w:jc w:val="left"/>
            </w:pPr>
            <w:r>
              <w:rPr>
                <w:rFonts w:ascii="Calibri" w:hAnsi="Calibri"/>
                <w:color w:val="282828"/>
                <w:sz w:val="18"/>
              </w:rPr>
              <w:t>CPI</w:t>
            </w:r>
          </w:p>
        </w:tc>
        <w:tc>
          <w:tcPr>
            <w:tcW w:type="dxa" w:w="2016"/>
            <w:shd w:fill="FFFFFF"/>
            <w:tcMar>
              <w:top w:w="80" w:type="dxa"/>
              <w:bottom w:w="80" w:type="dxa"/>
              <w:left w:w="120" w:type="dxa"/>
              <w:right w:w="120" w:type="dxa"/>
            </w:tcMar>
          </w:tcPr>
          <w:p>
            <w:pPr>
              <w:jc w:val="right"/>
            </w:pPr>
            <w:r>
              <w:rPr>
                <w:rFonts w:ascii="Calibri" w:hAnsi="Calibri"/>
                <w:color w:val="282828"/>
                <w:sz w:val="18"/>
              </w:rPr>
              <w:t>2.14%</w:t>
            </w:r>
          </w:p>
        </w:tc>
        <w:tc>
          <w:tcPr>
            <w:tcW w:type="dxa" w:w="1584"/>
            <w:shd w:fill="FFFFFF"/>
            <w:tcMar>
              <w:top w:w="80" w:type="dxa"/>
              <w:bottom w:w="80" w:type="dxa"/>
              <w:left w:w="120" w:type="dxa"/>
              <w:right w:w="120" w:type="dxa"/>
            </w:tcMar>
          </w:tcPr>
          <w:p>
            <w:pPr>
              <w:jc w:val="right"/>
            </w:pPr>
            <w:r>
              <w:rPr>
                <w:rFonts w:ascii="Calibri" w:hAnsi="Calibri"/>
                <w:color w:val="282828"/>
                <w:sz w:val="18"/>
              </w:rPr>
              <w:t>95.02%</w:t>
            </w:r>
          </w:p>
        </w:tc>
        <w:tc>
          <w:tcPr>
            <w:tcW w:type="dxa" w:w="2592"/>
            <w:shd w:fill="FFFFFF"/>
            <w:tcMar>
              <w:top w:w="80" w:type="dxa"/>
              <w:bottom w:w="80" w:type="dxa"/>
              <w:left w:w="120" w:type="dxa"/>
              <w:right w:w="120" w:type="dxa"/>
            </w:tcMar>
          </w:tcPr>
          <w:p>
            <w:pPr>
              <w:jc w:val="left"/>
            </w:pPr>
            <w:r>
              <w:rPr>
                <w:rFonts w:ascii="Calibri" w:hAnsi="Calibri"/>
                <w:color w:val="282828"/>
                <w:sz w:val="18"/>
              </w:rPr>
              <w:t>Regional price levels and consumer purchasing power index</w:t>
            </w:r>
          </w:p>
        </w:tc>
      </w:tr>
      <w:tr>
        <w:tc>
          <w:tcPr>
            <w:tcW w:type="dxa" w:w="864"/>
            <w:shd w:fill="F9FAFC"/>
            <w:tcMar>
              <w:top w:w="80" w:type="dxa"/>
              <w:bottom w:w="80" w:type="dxa"/>
              <w:left w:w="120" w:type="dxa"/>
              <w:right w:w="120" w:type="dxa"/>
            </w:tcMar>
          </w:tcPr>
          <w:p>
            <w:pPr>
              <w:jc w:val="center"/>
            </w:pPr>
            <w:r>
              <w:rPr>
                <w:rFonts w:ascii="Calibri" w:hAnsi="Calibri"/>
                <w:color w:val="282828"/>
                <w:sz w:val="18"/>
              </w:rPr>
              <w:t>6</w:t>
            </w:r>
          </w:p>
        </w:tc>
        <w:tc>
          <w:tcPr>
            <w:tcW w:type="dxa" w:w="1872"/>
            <w:shd w:fill="F9FAFC"/>
            <w:tcMar>
              <w:top w:w="80" w:type="dxa"/>
              <w:bottom w:w="80" w:type="dxa"/>
              <w:left w:w="120" w:type="dxa"/>
              <w:right w:w="120" w:type="dxa"/>
            </w:tcMar>
          </w:tcPr>
          <w:p>
            <w:pPr>
              <w:jc w:val="left"/>
            </w:pPr>
            <w:r>
              <w:rPr>
                <w:rFonts w:ascii="Calibri" w:hAnsi="Calibri"/>
                <w:color w:val="282828"/>
                <w:sz w:val="18"/>
              </w:rPr>
              <w:t>Type_encoded</w:t>
            </w:r>
          </w:p>
        </w:tc>
        <w:tc>
          <w:tcPr>
            <w:tcW w:type="dxa" w:w="2016"/>
            <w:shd w:fill="F9FAFC"/>
            <w:tcMar>
              <w:top w:w="80" w:type="dxa"/>
              <w:bottom w:w="80" w:type="dxa"/>
              <w:left w:w="120" w:type="dxa"/>
              <w:right w:w="120" w:type="dxa"/>
            </w:tcMar>
          </w:tcPr>
          <w:p>
            <w:pPr>
              <w:jc w:val="right"/>
            </w:pPr>
            <w:r>
              <w:rPr>
                <w:rFonts w:ascii="Calibri" w:hAnsi="Calibri"/>
                <w:color w:val="282828"/>
                <w:sz w:val="18"/>
              </w:rPr>
              <w:t>1.58%</w:t>
            </w:r>
          </w:p>
        </w:tc>
        <w:tc>
          <w:tcPr>
            <w:tcW w:type="dxa" w:w="1584"/>
            <w:shd w:fill="F9FAFC"/>
            <w:tcMar>
              <w:top w:w="80" w:type="dxa"/>
              <w:bottom w:w="80" w:type="dxa"/>
              <w:left w:w="120" w:type="dxa"/>
              <w:right w:w="120" w:type="dxa"/>
            </w:tcMar>
          </w:tcPr>
          <w:p>
            <w:pPr>
              <w:jc w:val="right"/>
            </w:pPr>
            <w:r>
              <w:rPr>
                <w:rFonts w:ascii="Calibri" w:hAnsi="Calibri"/>
                <w:color w:val="282828"/>
                <w:sz w:val="18"/>
              </w:rPr>
              <w:t>96.60%</w:t>
            </w:r>
          </w:p>
        </w:tc>
        <w:tc>
          <w:tcPr>
            <w:tcW w:type="dxa" w:w="2592"/>
            <w:shd w:fill="F9FAFC"/>
            <w:tcMar>
              <w:top w:w="80" w:type="dxa"/>
              <w:bottom w:w="80" w:type="dxa"/>
              <w:left w:w="120" w:type="dxa"/>
              <w:right w:w="120" w:type="dxa"/>
            </w:tcMar>
          </w:tcPr>
          <w:p>
            <w:pPr>
              <w:jc w:val="left"/>
            </w:pPr>
            <w:r>
              <w:rPr>
                <w:rFonts w:ascii="Calibri" w:hAnsi="Calibri"/>
                <w:color w:val="282828"/>
                <w:sz w:val="18"/>
              </w:rPr>
              <w:t>Store operating model (Supercenter vs Discount vs Neighborhood)</w:t>
            </w:r>
          </w:p>
        </w:tc>
      </w:tr>
      <w:tr>
        <w:tc>
          <w:tcPr>
            <w:tcW w:type="dxa" w:w="864"/>
            <w:shd w:fill="FFFFFF"/>
            <w:tcMar>
              <w:top w:w="80" w:type="dxa"/>
              <w:bottom w:w="80" w:type="dxa"/>
              <w:left w:w="120" w:type="dxa"/>
              <w:right w:w="120" w:type="dxa"/>
            </w:tcMar>
          </w:tcPr>
          <w:p>
            <w:pPr>
              <w:jc w:val="center"/>
            </w:pPr>
            <w:r>
              <w:rPr>
                <w:rFonts w:ascii="Calibri" w:hAnsi="Calibri"/>
                <w:color w:val="282828"/>
                <w:sz w:val="18"/>
              </w:rPr>
              <w:t>7</w:t>
            </w:r>
          </w:p>
        </w:tc>
        <w:tc>
          <w:tcPr>
            <w:tcW w:type="dxa" w:w="1872"/>
            <w:shd w:fill="FFFFFF"/>
            <w:tcMar>
              <w:top w:w="80" w:type="dxa"/>
              <w:bottom w:w="80" w:type="dxa"/>
              <w:left w:w="120" w:type="dxa"/>
              <w:right w:w="120" w:type="dxa"/>
            </w:tcMar>
          </w:tcPr>
          <w:p>
            <w:pPr>
              <w:jc w:val="left"/>
            </w:pPr>
            <w:r>
              <w:rPr>
                <w:rFonts w:ascii="Calibri" w:hAnsi="Calibri"/>
                <w:color w:val="282828"/>
                <w:sz w:val="18"/>
              </w:rPr>
              <w:t>Temperature</w:t>
            </w:r>
          </w:p>
        </w:tc>
        <w:tc>
          <w:tcPr>
            <w:tcW w:type="dxa" w:w="2016"/>
            <w:shd w:fill="FFFFFF"/>
            <w:tcMar>
              <w:top w:w="80" w:type="dxa"/>
              <w:bottom w:w="80" w:type="dxa"/>
              <w:left w:w="120" w:type="dxa"/>
              <w:right w:w="120" w:type="dxa"/>
            </w:tcMar>
          </w:tcPr>
          <w:p>
            <w:pPr>
              <w:jc w:val="right"/>
            </w:pPr>
            <w:r>
              <w:rPr>
                <w:rFonts w:ascii="Calibri" w:hAnsi="Calibri"/>
                <w:color w:val="282828"/>
                <w:sz w:val="18"/>
              </w:rPr>
              <w:t>1.18%</w:t>
            </w:r>
          </w:p>
        </w:tc>
        <w:tc>
          <w:tcPr>
            <w:tcW w:type="dxa" w:w="1584"/>
            <w:shd w:fill="FFFFFF"/>
            <w:tcMar>
              <w:top w:w="80" w:type="dxa"/>
              <w:bottom w:w="80" w:type="dxa"/>
              <w:left w:w="120" w:type="dxa"/>
              <w:right w:w="120" w:type="dxa"/>
            </w:tcMar>
          </w:tcPr>
          <w:p>
            <w:pPr>
              <w:jc w:val="right"/>
            </w:pPr>
            <w:r>
              <w:rPr>
                <w:rFonts w:ascii="Calibri" w:hAnsi="Calibri"/>
                <w:color w:val="282828"/>
                <w:sz w:val="18"/>
              </w:rPr>
              <w:t>97.78%</w:t>
            </w:r>
          </w:p>
        </w:tc>
        <w:tc>
          <w:tcPr>
            <w:tcW w:type="dxa" w:w="2592"/>
            <w:shd w:fill="FFFFFF"/>
            <w:tcMar>
              <w:top w:w="80" w:type="dxa"/>
              <w:bottom w:w="80" w:type="dxa"/>
              <w:left w:w="120" w:type="dxa"/>
              <w:right w:w="120" w:type="dxa"/>
            </w:tcMar>
          </w:tcPr>
          <w:p>
            <w:pPr>
              <w:jc w:val="left"/>
            </w:pPr>
            <w:r>
              <w:rPr>
                <w:rFonts w:ascii="Calibri" w:hAnsi="Calibri"/>
                <w:color w:val="282828"/>
                <w:sz w:val="18"/>
              </w:rPr>
              <w:t>Weather seasonal shifts affecting foot traffic and seasonal goods</w:t>
            </w:r>
          </w:p>
        </w:tc>
      </w:tr>
      <w:tr>
        <w:tc>
          <w:tcPr>
            <w:tcW w:type="dxa" w:w="864"/>
            <w:shd w:fill="F9FAFC"/>
            <w:tcMar>
              <w:top w:w="80" w:type="dxa"/>
              <w:bottom w:w="80" w:type="dxa"/>
              <w:left w:w="120" w:type="dxa"/>
              <w:right w:w="120" w:type="dxa"/>
            </w:tcMar>
          </w:tcPr>
          <w:p>
            <w:pPr>
              <w:jc w:val="center"/>
            </w:pPr>
            <w:r>
              <w:rPr>
                <w:rFonts w:ascii="Calibri" w:hAnsi="Calibri"/>
                <w:color w:val="282828"/>
                <w:sz w:val="18"/>
              </w:rPr>
              <w:t>8</w:t>
            </w:r>
          </w:p>
        </w:tc>
        <w:tc>
          <w:tcPr>
            <w:tcW w:type="dxa" w:w="1872"/>
            <w:shd w:fill="F9FAFC"/>
            <w:tcMar>
              <w:top w:w="80" w:type="dxa"/>
              <w:bottom w:w="80" w:type="dxa"/>
              <w:left w:w="120" w:type="dxa"/>
              <w:right w:w="120" w:type="dxa"/>
            </w:tcMar>
          </w:tcPr>
          <w:p>
            <w:pPr>
              <w:jc w:val="left"/>
            </w:pPr>
            <w:r>
              <w:rPr>
                <w:rFonts w:ascii="Calibri" w:hAnsi="Calibri"/>
                <w:color w:val="282828"/>
                <w:sz w:val="18"/>
              </w:rPr>
              <w:t>Unemployment</w:t>
            </w:r>
          </w:p>
        </w:tc>
        <w:tc>
          <w:tcPr>
            <w:tcW w:type="dxa" w:w="2016"/>
            <w:shd w:fill="F9FAFC"/>
            <w:tcMar>
              <w:top w:w="80" w:type="dxa"/>
              <w:bottom w:w="80" w:type="dxa"/>
              <w:left w:w="120" w:type="dxa"/>
              <w:right w:w="120" w:type="dxa"/>
            </w:tcMar>
          </w:tcPr>
          <w:p>
            <w:pPr>
              <w:jc w:val="right"/>
            </w:pPr>
            <w:r>
              <w:rPr>
                <w:rFonts w:ascii="Calibri" w:hAnsi="Calibri"/>
                <w:color w:val="282828"/>
                <w:sz w:val="18"/>
              </w:rPr>
              <w:t>0.94%</w:t>
            </w:r>
          </w:p>
        </w:tc>
        <w:tc>
          <w:tcPr>
            <w:tcW w:type="dxa" w:w="1584"/>
            <w:shd w:fill="F9FAFC"/>
            <w:tcMar>
              <w:top w:w="80" w:type="dxa"/>
              <w:bottom w:w="80" w:type="dxa"/>
              <w:left w:w="120" w:type="dxa"/>
              <w:right w:w="120" w:type="dxa"/>
            </w:tcMar>
          </w:tcPr>
          <w:p>
            <w:pPr>
              <w:jc w:val="right"/>
            </w:pPr>
            <w:r>
              <w:rPr>
                <w:rFonts w:ascii="Calibri" w:hAnsi="Calibri"/>
                <w:color w:val="282828"/>
                <w:sz w:val="18"/>
              </w:rPr>
              <w:t>98.72%</w:t>
            </w:r>
          </w:p>
        </w:tc>
        <w:tc>
          <w:tcPr>
            <w:tcW w:type="dxa" w:w="2592"/>
            <w:shd w:fill="F9FAFC"/>
            <w:tcMar>
              <w:top w:w="80" w:type="dxa"/>
              <w:bottom w:w="80" w:type="dxa"/>
              <w:left w:w="120" w:type="dxa"/>
              <w:right w:w="120" w:type="dxa"/>
            </w:tcMar>
          </w:tcPr>
          <w:p>
            <w:pPr>
              <w:jc w:val="left"/>
            </w:pPr>
            <w:r>
              <w:rPr>
                <w:rFonts w:ascii="Calibri" w:hAnsi="Calibri"/>
                <w:color w:val="282828"/>
                <w:sz w:val="18"/>
              </w:rPr>
              <w:t>Macroeconomic employment health affecting discretionary spending</w:t>
            </w:r>
          </w:p>
        </w:tc>
      </w:tr>
      <w:tr>
        <w:tc>
          <w:tcPr>
            <w:tcW w:type="dxa" w:w="864"/>
            <w:shd w:fill="FFFFFF"/>
            <w:tcMar>
              <w:top w:w="80" w:type="dxa"/>
              <w:bottom w:w="80" w:type="dxa"/>
              <w:left w:w="120" w:type="dxa"/>
              <w:right w:w="120" w:type="dxa"/>
            </w:tcMar>
          </w:tcPr>
          <w:p>
            <w:pPr>
              <w:jc w:val="center"/>
            </w:pPr>
            <w:r>
              <w:rPr>
                <w:rFonts w:ascii="Calibri" w:hAnsi="Calibri"/>
                <w:color w:val="282828"/>
                <w:sz w:val="18"/>
              </w:rPr>
              <w:t>9</w:t>
            </w:r>
          </w:p>
        </w:tc>
        <w:tc>
          <w:tcPr>
            <w:tcW w:type="dxa" w:w="1872"/>
            <w:shd w:fill="FFFFFF"/>
            <w:tcMar>
              <w:top w:w="80" w:type="dxa"/>
              <w:bottom w:w="80" w:type="dxa"/>
              <w:left w:w="120" w:type="dxa"/>
              <w:right w:w="120" w:type="dxa"/>
            </w:tcMar>
          </w:tcPr>
          <w:p>
            <w:pPr>
              <w:jc w:val="left"/>
            </w:pPr>
            <w:r>
              <w:rPr>
                <w:rFonts w:ascii="Calibri" w:hAnsi="Calibri"/>
                <w:color w:val="282828"/>
                <w:sz w:val="18"/>
              </w:rPr>
              <w:t>Fuel_Price</w:t>
            </w:r>
          </w:p>
        </w:tc>
        <w:tc>
          <w:tcPr>
            <w:tcW w:type="dxa" w:w="2016"/>
            <w:shd w:fill="FFFFFF"/>
            <w:tcMar>
              <w:top w:w="80" w:type="dxa"/>
              <w:bottom w:w="80" w:type="dxa"/>
              <w:left w:w="120" w:type="dxa"/>
              <w:right w:w="120" w:type="dxa"/>
            </w:tcMar>
          </w:tcPr>
          <w:p>
            <w:pPr>
              <w:jc w:val="right"/>
            </w:pPr>
            <w:r>
              <w:rPr>
                <w:rFonts w:ascii="Calibri" w:hAnsi="Calibri"/>
                <w:color w:val="282828"/>
                <w:sz w:val="18"/>
              </w:rPr>
              <w:t>0.68%</w:t>
            </w:r>
          </w:p>
        </w:tc>
        <w:tc>
          <w:tcPr>
            <w:tcW w:type="dxa" w:w="1584"/>
            <w:shd w:fill="FFFFFF"/>
            <w:tcMar>
              <w:top w:w="80" w:type="dxa"/>
              <w:bottom w:w="80" w:type="dxa"/>
              <w:left w:w="120" w:type="dxa"/>
              <w:right w:w="120" w:type="dxa"/>
            </w:tcMar>
          </w:tcPr>
          <w:p>
            <w:pPr>
              <w:jc w:val="right"/>
            </w:pPr>
            <w:r>
              <w:rPr>
                <w:rFonts w:ascii="Calibri" w:hAnsi="Calibri"/>
                <w:color w:val="282828"/>
                <w:sz w:val="18"/>
              </w:rPr>
              <w:t>99.40%</w:t>
            </w:r>
          </w:p>
        </w:tc>
        <w:tc>
          <w:tcPr>
            <w:tcW w:type="dxa" w:w="2592"/>
            <w:shd w:fill="FFFFFF"/>
            <w:tcMar>
              <w:top w:w="80" w:type="dxa"/>
              <w:bottom w:w="80" w:type="dxa"/>
              <w:left w:w="120" w:type="dxa"/>
              <w:right w:w="120" w:type="dxa"/>
            </w:tcMar>
          </w:tcPr>
          <w:p>
            <w:pPr>
              <w:jc w:val="left"/>
            </w:pPr>
            <w:r>
              <w:rPr>
                <w:rFonts w:ascii="Calibri" w:hAnsi="Calibri"/>
                <w:color w:val="282828"/>
                <w:sz w:val="18"/>
              </w:rPr>
              <w:t>Transportation cost burden on rural and suburban shoppers</w:t>
            </w:r>
          </w:p>
        </w:tc>
      </w:tr>
      <w:tr>
        <w:tc>
          <w:tcPr>
            <w:tcW w:type="dxa" w:w="864"/>
            <w:shd w:fill="F9FAFC"/>
            <w:tcMar>
              <w:top w:w="80" w:type="dxa"/>
              <w:bottom w:w="80" w:type="dxa"/>
              <w:left w:w="120" w:type="dxa"/>
              <w:right w:w="120" w:type="dxa"/>
            </w:tcMar>
          </w:tcPr>
          <w:p>
            <w:pPr>
              <w:jc w:val="center"/>
            </w:pPr>
            <w:r>
              <w:rPr>
                <w:rFonts w:ascii="Calibri" w:hAnsi="Calibri"/>
                <w:color w:val="282828"/>
                <w:sz w:val="18"/>
              </w:rPr>
              <w:t>10</w:t>
            </w:r>
          </w:p>
        </w:tc>
        <w:tc>
          <w:tcPr>
            <w:tcW w:type="dxa" w:w="1872"/>
            <w:shd w:fill="F9FAFC"/>
            <w:tcMar>
              <w:top w:w="80" w:type="dxa"/>
              <w:bottom w:w="80" w:type="dxa"/>
              <w:left w:w="120" w:type="dxa"/>
              <w:right w:w="120" w:type="dxa"/>
            </w:tcMar>
          </w:tcPr>
          <w:p>
            <w:pPr>
              <w:jc w:val="left"/>
            </w:pPr>
            <w:r>
              <w:rPr>
                <w:rFonts w:ascii="Calibri" w:hAnsi="Calibri"/>
                <w:color w:val="282828"/>
                <w:sz w:val="18"/>
              </w:rPr>
              <w:t>MarkDown1 - 5</w:t>
            </w:r>
          </w:p>
        </w:tc>
        <w:tc>
          <w:tcPr>
            <w:tcW w:type="dxa" w:w="2016"/>
            <w:shd w:fill="F9FAFC"/>
            <w:tcMar>
              <w:top w:w="80" w:type="dxa"/>
              <w:bottom w:w="80" w:type="dxa"/>
              <w:left w:w="120" w:type="dxa"/>
              <w:right w:w="120" w:type="dxa"/>
            </w:tcMar>
          </w:tcPr>
          <w:p>
            <w:pPr>
              <w:jc w:val="right"/>
            </w:pPr>
            <w:r>
              <w:rPr>
                <w:rFonts w:ascii="Calibri" w:hAnsi="Calibri"/>
                <w:color w:val="282828"/>
                <w:sz w:val="18"/>
              </w:rPr>
              <w:t>0.60%</w:t>
            </w:r>
          </w:p>
        </w:tc>
        <w:tc>
          <w:tcPr>
            <w:tcW w:type="dxa" w:w="1584"/>
            <w:shd w:fill="F9FAFC"/>
            <w:tcMar>
              <w:top w:w="80" w:type="dxa"/>
              <w:bottom w:w="80" w:type="dxa"/>
              <w:left w:w="120" w:type="dxa"/>
              <w:right w:w="120" w:type="dxa"/>
            </w:tcMar>
          </w:tcPr>
          <w:p>
            <w:pPr>
              <w:jc w:val="right"/>
            </w:pPr>
            <w:r>
              <w:rPr>
                <w:rFonts w:ascii="Calibri" w:hAnsi="Calibri"/>
                <w:color w:val="282828"/>
                <w:sz w:val="18"/>
              </w:rPr>
              <w:t>100.00%</w:t>
            </w:r>
          </w:p>
        </w:tc>
        <w:tc>
          <w:tcPr>
            <w:tcW w:type="dxa" w:w="2592"/>
            <w:shd w:fill="F9FAFC"/>
            <w:tcMar>
              <w:top w:w="80" w:type="dxa"/>
              <w:bottom w:w="80" w:type="dxa"/>
              <w:left w:w="120" w:type="dxa"/>
              <w:right w:w="120" w:type="dxa"/>
            </w:tcMar>
          </w:tcPr>
          <w:p>
            <w:pPr>
              <w:jc w:val="left"/>
            </w:pPr>
            <w:r>
              <w:rPr>
                <w:rFonts w:ascii="Calibri" w:hAnsi="Calibri"/>
                <w:color w:val="282828"/>
                <w:sz w:val="18"/>
              </w:rPr>
              <w:t>Targeted promotional discount uplift across specific departments</w:t>
            </w:r>
          </w:p>
        </w:tc>
      </w:tr>
    </w:tbl>
    <w:p>
      <w:pPr>
        <w:spacing w:after="280" w:before="80" w:line="276" w:lineRule="auto"/>
        <w:jc w:val="center"/>
      </w:pPr>
      <w:r>
        <w:rPr>
          <w:rFonts w:ascii="Calibri" w:hAnsi="Calibri"/>
          <w:color w:val="282828"/>
          <w:sz w:val="22"/>
        </w:rPr>
        <w:t>Table 18.1: Top 10 Most Influential Features by Permutation Importance</w:t>
      </w:r>
    </w:p>
    <w:p>
      <w:pPr>
        <w:keepNext/>
        <w:spacing w:before="360" w:after="160"/>
      </w:pPr>
      <w:r>
        <w:rPr>
          <w:rFonts w:ascii="Calibri" w:hAnsi="Calibri"/>
          <w:b/>
          <w:color w:val="1F4E79"/>
          <w:sz w:val="32"/>
        </w:rPr>
        <w:t>19. PROJECT LIMITATIONS</w:t>
      </w:r>
    </w:p>
    <w:p>
      <w:pPr>
        <w:spacing w:after="120" w:before="0" w:line="276" w:lineRule="auto"/>
        <w:jc w:val="both"/>
      </w:pPr>
      <w:r>
        <w:rPr>
          <w:rFonts w:ascii="Calibri" w:hAnsi="Calibri"/>
          <w:color w:val="282828"/>
          <w:sz w:val="22"/>
        </w:rPr>
        <w:t>To ensure objective academic rigor, several inherent project limitations are acknowledged:</w:t>
      </w:r>
    </w:p>
    <w:p>
      <w:pPr>
        <w:pStyle w:val="ListBullet"/>
        <w:spacing w:after="80" w:line="276" w:lineRule="auto"/>
      </w:pPr>
      <w:r>
        <w:rPr>
          <w:rFonts w:ascii="Calibri" w:hAnsi="Calibri"/>
          <w:b/>
          <w:color w:val="282828"/>
          <w:sz w:val="21"/>
        </w:rPr>
        <w:t xml:space="preserve">Temporal Granularity: </w:t>
      </w:r>
      <w:r>
        <w:rPr>
          <w:rFonts w:ascii="Calibri" w:hAnsi="Calibri"/>
          <w:color w:val="282828"/>
          <w:sz w:val="21"/>
        </w:rPr>
        <w:t>The dataset is aggregated at weekly intervals. Real-time store operations require daily or hourly foot-traffic forecasting for granular workforce scheduling.</w:t>
      </w:r>
    </w:p>
    <w:p>
      <w:pPr>
        <w:pStyle w:val="ListBullet"/>
        <w:spacing w:after="80" w:line="276" w:lineRule="auto"/>
      </w:pPr>
      <w:r>
        <w:rPr>
          <w:rFonts w:ascii="Calibri" w:hAnsi="Calibri"/>
          <w:b/>
          <w:color w:val="282828"/>
          <w:sz w:val="21"/>
        </w:rPr>
        <w:t xml:space="preserve">Historical Markdown Incompleteness: </w:t>
      </w:r>
      <w:r>
        <w:rPr>
          <w:rFonts w:ascii="Calibri" w:hAnsi="Calibri"/>
          <w:color w:val="282828"/>
          <w:sz w:val="21"/>
        </w:rPr>
        <w:t>Promotional markdown fields were unrecorded prior to November 2011 (missing 50%–64% overall). Although imputed with zeros, models lacked promotional historical data during 2010.</w:t>
      </w:r>
    </w:p>
    <w:p>
      <w:pPr>
        <w:pStyle w:val="ListBullet"/>
        <w:spacing w:after="80" w:line="276" w:lineRule="auto"/>
      </w:pPr>
      <w:r>
        <w:rPr>
          <w:rFonts w:ascii="Calibri" w:hAnsi="Calibri"/>
          <w:b/>
          <w:color w:val="282828"/>
          <w:sz w:val="21"/>
        </w:rPr>
        <w:t xml:space="preserve">External Variable Weakness: </w:t>
      </w:r>
      <w:r>
        <w:rPr>
          <w:rFonts w:ascii="Calibri" w:hAnsi="Calibri"/>
          <w:color w:val="282828"/>
          <w:sz w:val="21"/>
        </w:rPr>
        <w:t>Public macroeconomic indicators (CPI, Unemployment, Temperature) exhibited negligible direct linear correlation with weekly sales, functioning primarily as weak secondary split criteria.</w:t>
      </w:r>
    </w:p>
    <w:p>
      <w:pPr>
        <w:pStyle w:val="ListBullet"/>
        <w:spacing w:after="80" w:line="276" w:lineRule="auto"/>
      </w:pPr>
      <w:r>
        <w:rPr>
          <w:rFonts w:ascii="Calibri" w:hAnsi="Calibri"/>
          <w:b/>
          <w:color w:val="282828"/>
          <w:sz w:val="21"/>
        </w:rPr>
        <w:t xml:space="preserve">Omission of Competitor Actions: </w:t>
      </w:r>
      <w:r>
        <w:rPr>
          <w:rFonts w:ascii="Calibri" w:hAnsi="Calibri"/>
          <w:color w:val="282828"/>
          <w:sz w:val="21"/>
        </w:rPr>
        <w:t>Local competitor promotional actions, advertising campaigns, and nearby retail openings were not available in the anonymized benchmark dataset.</w:t>
      </w:r>
    </w:p>
    <w:p>
      <w:pPr>
        <w:keepNext/>
        <w:spacing w:before="360" w:after="160"/>
      </w:pPr>
      <w:r>
        <w:rPr>
          <w:rFonts w:ascii="Calibri" w:hAnsi="Calibri"/>
          <w:b/>
          <w:color w:val="1F4E79"/>
          <w:sz w:val="32"/>
        </w:rPr>
        <w:t>20. FUTURE SCOPE AND ROADMAP</w:t>
      </w:r>
    </w:p>
    <w:p>
      <w:pPr>
        <w:spacing w:after="120" w:before="0" w:line="276" w:lineRule="auto"/>
        <w:jc w:val="both"/>
      </w:pPr>
      <w:r>
        <w:rPr>
          <w:rFonts w:ascii="Calibri" w:hAnsi="Calibri"/>
          <w:color w:val="282828"/>
          <w:sz w:val="22"/>
        </w:rPr>
        <w:t>Several prospective enhancements are proposed for future development:</w:t>
      </w:r>
    </w:p>
    <w:p>
      <w:pPr>
        <w:pStyle w:val="ListBullet"/>
        <w:spacing w:after="80" w:line="276" w:lineRule="auto"/>
      </w:pPr>
      <w:r>
        <w:rPr>
          <w:rFonts w:ascii="Calibri" w:hAnsi="Calibri"/>
          <w:b/>
          <w:color w:val="282828"/>
          <w:sz w:val="21"/>
        </w:rPr>
        <w:t xml:space="preserve">Deep Sequence Modeling: </w:t>
      </w:r>
      <w:r>
        <w:rPr>
          <w:rFonts w:ascii="Calibri" w:hAnsi="Calibri"/>
          <w:color w:val="282828"/>
          <w:sz w:val="21"/>
        </w:rPr>
        <w:t>Implement Long Short-Term Memory (LSTM) recurrent neural networks or Temporal Fusion Transformers (TFT) to model multi-horizon temporal dependencies.</w:t>
      </w:r>
    </w:p>
    <w:p>
      <w:pPr>
        <w:pStyle w:val="ListBullet"/>
        <w:spacing w:after="80" w:line="276" w:lineRule="auto"/>
      </w:pPr>
      <w:r>
        <w:rPr>
          <w:rFonts w:ascii="Calibri" w:hAnsi="Calibri"/>
          <w:b/>
          <w:color w:val="282828"/>
          <w:sz w:val="21"/>
        </w:rPr>
        <w:t xml:space="preserve">Hierarchical Forecasting: </w:t>
      </w:r>
      <w:r>
        <w:rPr>
          <w:rFonts w:ascii="Calibri" w:hAnsi="Calibri"/>
          <w:color w:val="282828"/>
          <w:sz w:val="21"/>
        </w:rPr>
        <w:t>Implement Hierarchical Reconciliation algorithms (e.g., MinT) to ensure strict mathematical coherence between department, store, regional, and national sales forecasts.</w:t>
      </w:r>
    </w:p>
    <w:p>
      <w:pPr>
        <w:pStyle w:val="ListBullet"/>
        <w:spacing w:after="80" w:line="276" w:lineRule="auto"/>
      </w:pPr>
      <w:r>
        <w:rPr>
          <w:rFonts w:ascii="Calibri" w:hAnsi="Calibri"/>
          <w:b/>
          <w:color w:val="282828"/>
          <w:sz w:val="21"/>
        </w:rPr>
        <w:t xml:space="preserve">Automated MLOps Pipeline: </w:t>
      </w:r>
      <w:r>
        <w:rPr>
          <w:rFonts w:ascii="Calibri" w:hAnsi="Calibri"/>
          <w:color w:val="282828"/>
          <w:sz w:val="21"/>
        </w:rPr>
        <w:t>Containerize the model using Docker, establish automated model monitoring for data drift, and deploy an automated continuous retraining pipeline using GitHub Actions.</w:t>
      </w:r>
    </w:p>
    <w:p>
      <w:pPr>
        <w:pStyle w:val="ListBullet"/>
        <w:spacing w:after="80" w:line="276" w:lineRule="auto"/>
      </w:pPr>
      <w:r>
        <w:rPr>
          <w:rFonts w:ascii="Calibri" w:hAnsi="Calibri"/>
          <w:b/>
          <w:color w:val="282828"/>
          <w:sz w:val="21"/>
        </w:rPr>
        <w:t xml:space="preserve">Causal Inference: </w:t>
      </w:r>
      <w:r>
        <w:rPr>
          <w:rFonts w:ascii="Calibri" w:hAnsi="Calibri"/>
          <w:color w:val="282828"/>
          <w:sz w:val="21"/>
        </w:rPr>
        <w:t>Incorporate uplift modeling and double machine learning to isolate the true causal treatment effect of individual promotional markdowns on customer lifetime value.</w:t>
      </w:r>
    </w:p>
    <w:p>
      <w:pPr>
        <w:keepNext/>
        <w:spacing w:before="360" w:after="160"/>
      </w:pPr>
      <w:r>
        <w:rPr>
          <w:rFonts w:ascii="Calibri" w:hAnsi="Calibri"/>
          <w:b/>
          <w:color w:val="1F4E79"/>
          <w:sz w:val="32"/>
        </w:rPr>
        <w:t>21. CONCLUSION</w:t>
      </w:r>
    </w:p>
    <w:p>
      <w:pPr>
        <w:spacing w:after="120" w:before="0" w:line="276" w:lineRule="auto"/>
        <w:jc w:val="both"/>
      </w:pPr>
      <w:r>
        <w:rPr>
          <w:rFonts w:ascii="Calibri" w:hAnsi="Calibri"/>
          <w:color w:val="282828"/>
          <w:sz w:val="22"/>
        </w:rPr>
        <w:t>This project successfully developed an AI-powered retail sales analytics and sales forecasting system using historical data from 45 Walmart stores. By adhering to rigorous data science principles—comprehensive data cleaning, intelligent missing-value imputation, extensive exploratory analysis, domain-driven feature engineering, and strict time-based validation—a robust machine learning architecture was established.</w:t>
      </w:r>
    </w:p>
    <w:p>
      <w:pPr>
        <w:spacing w:after="120" w:before="0" w:line="276" w:lineRule="auto"/>
        <w:jc w:val="both"/>
      </w:pPr>
      <w:r>
        <w:rPr>
          <w:rFonts w:ascii="Calibri" w:hAnsi="Calibri"/>
          <w:color w:val="282828"/>
          <w:sz w:val="22"/>
        </w:rPr>
        <w:t>Among five evaluated architectures, the **Random Forest Regressor** achieved outstanding predictive performance, attaining an MAE of **$2,075.79**, an RMSE of **$4,005.37**, and an R² of **0.9668** (accounting for 96.68% of sales variance) on the holdout validation partition. Permutation feature importance conclusively established that Department identity (64.7%) and Store Size (19.1%) govern 83.8% of aggregate sales variance, while macroeconomic indicators play a minor contextual role. The winning model successfully generated 115,064 future sales forecasts. Combined with an interactive Streamlit decision-support application and an automated 16-case test suite (100% pass rate), this project represents an end-to-end, internship-ready contribution to modern retail analytics.</w:t>
      </w:r>
    </w:p>
    <w:p>
      <w:pPr>
        <w:keepNext/>
        <w:spacing w:before="360" w:after="160"/>
      </w:pPr>
      <w:r>
        <w:rPr>
          <w:rFonts w:ascii="Calibri" w:hAnsi="Calibri"/>
          <w:b/>
          <w:color w:val="1F4E79"/>
          <w:sz w:val="32"/>
        </w:rPr>
        <w:t>22. INTERNSHIP LEARNING OUTCOMES</w:t>
      </w:r>
    </w:p>
    <w:p>
      <w:pPr>
        <w:spacing w:after="120" w:before="0" w:line="276" w:lineRule="auto"/>
        <w:jc w:val="both"/>
      </w:pPr>
      <w:r>
        <w:rPr>
          <w:rFonts w:ascii="Calibri" w:hAnsi="Calibri"/>
          <w:color w:val="282828"/>
          <w:sz w:val="22"/>
        </w:rPr>
        <w:t>Through the IBM SkillsBuild Data Analytics with AI Academic Internship, significant technical competencies were developed:</w:t>
      </w:r>
    </w:p>
    <w:p>
      <w:pPr>
        <w:pStyle w:val="ListBullet"/>
        <w:spacing w:after="80" w:line="276" w:lineRule="auto"/>
      </w:pPr>
      <w:r>
        <w:rPr>
          <w:rFonts w:ascii="Calibri" w:hAnsi="Calibri"/>
          <w:b/>
          <w:color w:val="282828"/>
          <w:sz w:val="21"/>
        </w:rPr>
        <w:t xml:space="preserve">Full-Lifecycle Data Science: </w:t>
      </w:r>
      <w:r>
        <w:rPr>
          <w:rFonts w:ascii="Calibri" w:hAnsi="Calibri"/>
          <w:color w:val="282828"/>
          <w:sz w:val="21"/>
        </w:rPr>
        <w:t>Mastered end-to-end project execution from raw multi-table ingestion to model productionization.</w:t>
      </w:r>
    </w:p>
    <w:p>
      <w:pPr>
        <w:pStyle w:val="ListBullet"/>
        <w:spacing w:after="80" w:line="276" w:lineRule="auto"/>
      </w:pPr>
      <w:r>
        <w:rPr>
          <w:rFonts w:ascii="Calibri" w:hAnsi="Calibri"/>
          <w:b/>
          <w:color w:val="282828"/>
          <w:sz w:val="21"/>
        </w:rPr>
        <w:t xml:space="preserve">Data Leakage Prevention: </w:t>
      </w:r>
      <w:r>
        <w:rPr>
          <w:rFonts w:ascii="Calibri" w:hAnsi="Calibri"/>
          <w:color w:val="282828"/>
          <w:sz w:val="21"/>
        </w:rPr>
        <w:t>Gained deep understanding of time-series validation protocols and causal chronological ordering.</w:t>
      </w:r>
    </w:p>
    <w:p>
      <w:pPr>
        <w:pStyle w:val="ListBullet"/>
        <w:spacing w:after="80" w:line="276" w:lineRule="auto"/>
      </w:pPr>
      <w:r>
        <w:rPr>
          <w:rFonts w:ascii="Calibri" w:hAnsi="Calibri"/>
          <w:b/>
          <w:color w:val="282828"/>
          <w:sz w:val="21"/>
        </w:rPr>
        <w:t xml:space="preserve">Ensemble Machine Learning: </w:t>
      </w:r>
      <w:r>
        <w:rPr>
          <w:rFonts w:ascii="Calibri" w:hAnsi="Calibri"/>
          <w:color w:val="282828"/>
          <w:sz w:val="21"/>
        </w:rPr>
        <w:t>Developed practical expertise in tuning and benchmarking Bagging (Random Forest) vs Boosting (XGBoost, HistGradientBoosting).</w:t>
      </w:r>
    </w:p>
    <w:p>
      <w:pPr>
        <w:pStyle w:val="ListBullet"/>
        <w:spacing w:after="80" w:line="276" w:lineRule="auto"/>
      </w:pPr>
      <w:r>
        <w:rPr>
          <w:rFonts w:ascii="Calibri" w:hAnsi="Calibri"/>
          <w:b/>
          <w:color w:val="282828"/>
          <w:sz w:val="21"/>
        </w:rPr>
        <w:t xml:space="preserve">Permutation Feature Importance: </w:t>
      </w:r>
      <w:r>
        <w:rPr>
          <w:rFonts w:ascii="Calibri" w:hAnsi="Calibri"/>
          <w:color w:val="282828"/>
          <w:sz w:val="21"/>
        </w:rPr>
        <w:t>Applied model-agnostic interpretability techniques to derive defensible enterprise insights.</w:t>
      </w:r>
    </w:p>
    <w:p>
      <w:pPr>
        <w:pStyle w:val="ListBullet"/>
        <w:spacing w:after="80" w:line="276" w:lineRule="auto"/>
      </w:pPr>
      <w:r>
        <w:rPr>
          <w:rFonts w:ascii="Calibri" w:hAnsi="Calibri"/>
          <w:b/>
          <w:color w:val="282828"/>
          <w:sz w:val="21"/>
        </w:rPr>
        <w:t xml:space="preserve">Full-Stack Analytics Engineering: </w:t>
      </w:r>
      <w:r>
        <w:rPr>
          <w:rFonts w:ascii="Calibri" w:hAnsi="Calibri"/>
          <w:color w:val="282828"/>
          <w:sz w:val="21"/>
        </w:rPr>
        <w:t>Built interactive decision-support tools using Streamlit and implemented unit testing with Pytest.</w:t>
      </w:r>
    </w:p>
    <w:p>
      <w:pPr>
        <w:keepNext/>
        <w:spacing w:before="360" w:after="160"/>
      </w:pPr>
      <w:r>
        <w:rPr>
          <w:rFonts w:ascii="Calibri" w:hAnsi="Calibri"/>
          <w:b/>
          <w:color w:val="1F4E79"/>
          <w:sz w:val="32"/>
        </w:rPr>
        <w:t>23. REFERENCES</w:t>
      </w:r>
    </w:p>
    <w:p>
      <w:pPr>
        <w:pStyle w:val="ListBullet"/>
        <w:spacing w:after="80"/>
      </w:pPr>
      <w:r>
        <w:rPr>
          <w:rFonts w:ascii="Calibri" w:hAnsi="Calibri"/>
          <w:sz w:val="19"/>
        </w:rPr>
        <w:t>Walmart Inc. &amp; Kaggle Inc. (2012). 'Walmart Recruiting - Store Sales Forecasting'. Kaggle Competition Dataset. https://www.kaggle.com/c/walmart-recruiting-store-sales-forecasting</w:t>
      </w:r>
    </w:p>
    <w:p>
      <w:pPr>
        <w:pStyle w:val="ListBullet"/>
        <w:spacing w:after="80"/>
      </w:pPr>
      <w:r>
        <w:rPr>
          <w:rFonts w:ascii="Calibri" w:hAnsi="Calibri"/>
          <w:sz w:val="19"/>
        </w:rPr>
        <w:t>Breiman, L. (2001). 'Random Forests'. Machine Learning, 45(1), 5-32. Springer.</w:t>
      </w:r>
    </w:p>
    <w:p>
      <w:pPr>
        <w:pStyle w:val="ListBullet"/>
        <w:spacing w:after="80"/>
      </w:pPr>
      <w:r>
        <w:rPr>
          <w:rFonts w:ascii="Calibri" w:hAnsi="Calibri"/>
          <w:sz w:val="19"/>
        </w:rPr>
        <w:t>Chen, T., &amp; Guestrin, C. (2016). 'XGBoost: A Scalable Tree Boosting System'. In Proceedings of the 22nd ACM SIGKDD International Conference on Knowledge Discovery and Data Mining (pp. 785-794).</w:t>
      </w:r>
    </w:p>
    <w:p>
      <w:pPr>
        <w:pStyle w:val="ListBullet"/>
        <w:spacing w:after="80"/>
      </w:pPr>
      <w:r>
        <w:rPr>
          <w:rFonts w:ascii="Calibri" w:hAnsi="Calibri"/>
          <w:sz w:val="19"/>
        </w:rPr>
        <w:t>Pedregosa, F., et al. (2011). 'Scikit-learn: Machine Learning in Python'. Journal of Machine Learning Research, 12, 2825-2830.</w:t>
      </w:r>
    </w:p>
    <w:p>
      <w:pPr>
        <w:pStyle w:val="ListBullet"/>
        <w:spacing w:after="80"/>
      </w:pPr>
      <w:r>
        <w:rPr>
          <w:rFonts w:ascii="Calibri" w:hAnsi="Calibri"/>
          <w:sz w:val="19"/>
        </w:rPr>
        <w:t>McKinney, W. (2010). 'Data Structures for Statistical Computing in Python'. In Proceedings of the 9th Python in Science Conference (pp. 51-56).</w:t>
      </w:r>
    </w:p>
    <w:p>
      <w:pPr>
        <w:pStyle w:val="ListBullet"/>
        <w:spacing w:after="80"/>
      </w:pPr>
      <w:r>
        <w:rPr>
          <w:rFonts w:ascii="Calibri" w:hAnsi="Calibri"/>
          <w:sz w:val="19"/>
        </w:rPr>
        <w:t>Hunter, J. D. (2007). 'Matplotlib: A 2D Graphics Environment'. Computing in Science &amp; Engineering, 9(3), 90-95.</w:t>
      </w:r>
    </w:p>
    <w:p>
      <w:pPr>
        <w:pStyle w:val="ListBullet"/>
        <w:spacing w:after="80"/>
      </w:pPr>
      <w:r>
        <w:rPr>
          <w:rFonts w:ascii="Calibri" w:hAnsi="Calibri"/>
          <w:sz w:val="19"/>
        </w:rPr>
        <w:t>Waskom, M. L. (2021). 'Seaborn: Statistical Data Visualization'. Journal of Open Source Software, 6(60), 3021.</w:t>
      </w:r>
    </w:p>
    <w:p>
      <w:pPr>
        <w:pStyle w:val="ListBullet"/>
        <w:spacing w:after="80"/>
      </w:pPr>
      <w:r>
        <w:rPr>
          <w:rFonts w:ascii="Calibri" w:hAnsi="Calibri"/>
          <w:sz w:val="19"/>
        </w:rPr>
        <w:t>Streamlit Inc. (2023). 'Streamlit Documentation: The Fastest Way to Build Data Apps'. https://docs.streamlit.io</w:t>
      </w:r>
    </w:p>
    <w:p>
      <w:pPr>
        <w:pStyle w:val="ListBullet"/>
        <w:spacing w:after="80"/>
      </w:pPr>
      <w:r>
        <w:rPr>
          <w:rFonts w:ascii="Calibri" w:hAnsi="Calibri"/>
          <w:sz w:val="19"/>
        </w:rPr>
        <w:t>Hyndman, R. J., &amp; Athanasopoulos, G. (2018). 'Forecasting: Principles and Practice'. 2nd edition, OTexts: Melbourne, Australia.</w:t>
      </w:r>
    </w:p>
    <w:p>
      <w:r>
        <w:br w:type="page"/>
      </w:r>
    </w:p>
    <w:p>
      <w:pPr>
        <w:keepNext/>
        <w:spacing w:before="360" w:after="160"/>
      </w:pPr>
      <w:r>
        <w:rPr>
          <w:rFonts w:ascii="Calibri" w:hAnsi="Calibri"/>
          <w:b/>
          <w:color w:val="1F4E79"/>
          <w:sz w:val="32"/>
        </w:rPr>
        <w:t>APPENDICES</w:t>
      </w:r>
    </w:p>
    <w:p>
      <w:pPr>
        <w:keepNext/>
        <w:spacing w:before="240" w:after="100"/>
      </w:pPr>
      <w:r>
        <w:rPr>
          <w:rFonts w:ascii="Calibri" w:hAnsi="Calibri"/>
          <w:b/>
          <w:color w:val="2E5597"/>
          <w:sz w:val="26"/>
        </w:rPr>
        <w:t>APPENDIX A: PROJECT DIRECTORY STRUCTURE</w:t>
      </w:r>
    </w:p>
    <w:p>
      <w:pPr>
        <w:spacing w:after="120" w:before="0" w:line="276" w:lineRule="auto"/>
        <w:jc w:val="both"/>
      </w:pPr>
      <w:r>
        <w:rPr>
          <w:rFonts w:ascii="Calibri" w:hAnsi="Calibri"/>
          <w:color w:val="282828"/>
          <w:sz w:val="22"/>
        </w:rPr>
        <w:t>The complete, modular repository is organized into a clean enterprise hierarchy:</w:t>
        <w:br/>
        <w:t>walmart-recruiting-store-sales-forecasting/</w:t>
        <w:br/>
        <w:t>│</w:t>
        <w:br/>
        <w:t>├── app/</w:t>
        <w:br/>
        <w:t>│   └── app.py                                   &lt;- Streamlit 8-page interactive dashboard</w:t>
        <w:br/>
        <w:t>├── models/</w:t>
        <w:br/>
        <w:t>│   ├── final_model.pkl                          &lt;- Serialized winning Random Forest model</w:t>
        <w:br/>
        <w:t>│   └── feature_columns.pkl                      &lt;- Serialized list of 23 feature columns</w:t>
        <w:br/>
        <w:t>├── notebooks/</w:t>
        <w:br/>
        <w:t>│   ├── Thamizharasan_AI-Powered_...ipynb        &lt;- Primary reproducible 26-section notebook</w:t>
        <w:br/>
        <w:t>│   └── retail_sales_analysis_backup.ipynb       &lt;- Validated backup analysis notebook</w:t>
        <w:br/>
        <w:t>├── outputs/</w:t>
        <w:br/>
        <w:t>│   ├── figures/                                 &lt;- 14 high-resolution EDA and evaluation plots</w:t>
        <w:br/>
        <w:t>│   ├── metrics/model_comparison.csv             &lt;- Benchmarking metrics across 5 algorithms</w:t>
        <w:br/>
        <w:t>│   └── predictions/                             &lt;- Test set predictions and Kaggle submission</w:t>
        <w:br/>
        <w:t>├── src/</w:t>
        <w:br/>
        <w:t>│   ├── config.py                                &lt;- Centralized paths and hyperparameters</w:t>
        <w:br/>
        <w:t>│   ├── data_preprocessing.py                    &lt;- Data loading, merging, and cleaning</w:t>
        <w:br/>
        <w:t>│   ├── feature_engineering.py                   &lt;- 23 feature engineering transformations</w:t>
        <w:br/>
        <w:t>│   ├── train.py                                 &lt;- Model training and serializations</w:t>
        <w:br/>
        <w:t>│   ├── evaluate.py                              &lt;- Model evaluation across MAE, RMSE, R2, MAPE</w:t>
        <w:br/>
        <w:t>│   ├── predict.py                               &lt;- Batch inference script for test.csv</w:t>
        <w:br/>
        <w:t>│   └── eda.py                                   &lt;- Standalone figure generator script</w:t>
        <w:br/>
        <w:t>├── tests/</w:t>
        <w:br/>
        <w:t>│   └── test_pipeline.py                         &lt;- 16 automated pytest unit tests (100% PASS)</w:t>
        <w:br/>
        <w:t>├── train.csv, test.csv, features.csv, stores.csv&lt;- Raw benchmark datasets</w:t>
        <w:br/>
        <w:t>├── README.md                                    &lt;- Comprehensive technical documentation</w:t>
        <w:br/>
        <w:t>├── requirements.txt                             &lt;- Project Python dependencies</w:t>
        <w:br/>
        <w:t>└── auto_sync.py, start_autopush.bat, sync.bat   &lt;- Automated GitHub synchronization scripts</w:t>
      </w:r>
    </w:p>
    <w:p>
      <w:pPr>
        <w:keepNext/>
        <w:spacing w:before="240" w:after="100"/>
      </w:pPr>
      <w:r>
        <w:rPr>
          <w:rFonts w:ascii="Calibri" w:hAnsi="Calibri"/>
          <w:b/>
          <w:color w:val="2E5597"/>
          <w:sz w:val="26"/>
        </w:rPr>
        <w:t>APPENDIX B: SAMPLE TEST PREDICTIONS</w:t>
      </w:r>
    </w:p>
    <w:p>
      <w:pPr>
        <w:spacing w:after="120" w:before="0" w:line="276" w:lineRule="auto"/>
        <w:jc w:val="both"/>
      </w:pPr>
      <w:r>
        <w:rPr>
          <w:rFonts w:ascii="Calibri" w:hAnsi="Calibri"/>
          <w:color w:val="282828"/>
          <w:sz w:val="22"/>
        </w:rPr>
        <w:t>Table C.1 presents the first 10 forecast records generated by the final Random Forest model on test.csv:</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872"/>
        <w:gridCol w:w="1872"/>
        <w:gridCol w:w="1872"/>
        <w:gridCol w:w="1872"/>
        <w:gridCol w:w="1872"/>
      </w:tblGrid>
      <w:tr>
        <w:tc>
          <w:tcPr>
            <w:tcW w:type="dxa" w:w="1440"/>
            <w:shd w:fill="1F4E79"/>
            <w:tcMar>
              <w:top w:w="120" w:type="dxa"/>
              <w:bottom w:w="120" w:type="dxa"/>
              <w:left w:w="150" w:type="dxa"/>
              <w:right w:w="150" w:type="dxa"/>
            </w:tcMar>
          </w:tcPr>
          <w:p>
            <w:pPr>
              <w:jc w:val="center"/>
            </w:pPr>
            <w:r>
              <w:rPr>
                <w:rFonts w:ascii="Calibri" w:hAnsi="Calibri"/>
                <w:b/>
                <w:color w:val="FFFFFF"/>
                <w:sz w:val="19"/>
              </w:rPr>
              <w:t>Store ID</w:t>
            </w:r>
          </w:p>
        </w:tc>
        <w:tc>
          <w:tcPr>
            <w:tcW w:type="dxa" w:w="1440"/>
            <w:shd w:fill="1F4E79"/>
            <w:tcMar>
              <w:top w:w="120" w:type="dxa"/>
              <w:bottom w:w="120" w:type="dxa"/>
              <w:left w:w="150" w:type="dxa"/>
              <w:right w:w="150" w:type="dxa"/>
            </w:tcMar>
          </w:tcPr>
          <w:p>
            <w:pPr>
              <w:jc w:val="center"/>
            </w:pPr>
            <w:r>
              <w:rPr>
                <w:rFonts w:ascii="Calibri" w:hAnsi="Calibri"/>
                <w:b/>
                <w:color w:val="FFFFFF"/>
                <w:sz w:val="19"/>
              </w:rPr>
              <w:t>Dept ID</w:t>
            </w:r>
          </w:p>
        </w:tc>
        <w:tc>
          <w:tcPr>
            <w:tcW w:type="dxa" w:w="1728"/>
            <w:shd w:fill="1F4E79"/>
            <w:tcMar>
              <w:top w:w="120" w:type="dxa"/>
              <w:bottom w:w="120" w:type="dxa"/>
              <w:left w:w="150" w:type="dxa"/>
              <w:right w:w="150" w:type="dxa"/>
            </w:tcMar>
          </w:tcPr>
          <w:p>
            <w:pPr>
              <w:jc w:val="center"/>
            </w:pPr>
            <w:r>
              <w:rPr>
                <w:rFonts w:ascii="Calibri" w:hAnsi="Calibri"/>
                <w:b/>
                <w:color w:val="FFFFFF"/>
                <w:sz w:val="19"/>
              </w:rPr>
              <w:t>Date</w:t>
            </w:r>
          </w:p>
        </w:tc>
        <w:tc>
          <w:tcPr>
            <w:tcW w:type="dxa" w:w="2592"/>
            <w:shd w:fill="1F4E79"/>
            <w:tcMar>
              <w:top w:w="120" w:type="dxa"/>
              <w:bottom w:w="120" w:type="dxa"/>
              <w:left w:w="150" w:type="dxa"/>
              <w:right w:w="150" w:type="dxa"/>
            </w:tcMar>
          </w:tcPr>
          <w:p>
            <w:pPr>
              <w:jc w:val="center"/>
            </w:pPr>
            <w:r>
              <w:rPr>
                <w:rFonts w:ascii="Calibri" w:hAnsi="Calibri"/>
                <w:b/>
                <w:color w:val="FFFFFF"/>
                <w:sz w:val="19"/>
              </w:rPr>
              <w:t>Predicted Weekly Sales ($)</w:t>
            </w:r>
          </w:p>
        </w:tc>
        <w:tc>
          <w:tcPr>
            <w:tcW w:type="dxa" w:w="2592"/>
            <w:shd w:fill="1F4E79"/>
            <w:tcMar>
              <w:top w:w="120" w:type="dxa"/>
              <w:bottom w:w="120" w:type="dxa"/>
              <w:left w:w="150" w:type="dxa"/>
              <w:right w:w="150" w:type="dxa"/>
            </w:tcMar>
          </w:tcPr>
          <w:p>
            <w:pPr>
              <w:jc w:val="center"/>
            </w:pPr>
            <w:r>
              <w:rPr>
                <w:rFonts w:ascii="Calibri" w:hAnsi="Calibri"/>
                <w:b/>
                <w:color w:val="FFFFFF"/>
                <w:sz w:val="19"/>
              </w:rPr>
              <w:t>Id (Kaggle Submission Format)</w:t>
            </w:r>
          </w:p>
        </w:tc>
      </w:tr>
      <w:tr>
        <w:tc>
          <w:tcPr>
            <w:tcW w:type="dxa" w:w="1440"/>
            <w:shd w:fill="FFFFFF"/>
            <w:tcMar>
              <w:top w:w="80" w:type="dxa"/>
              <w:bottom w:w="80" w:type="dxa"/>
              <w:left w:w="120" w:type="dxa"/>
              <w:right w:w="120" w:type="dxa"/>
            </w:tcMar>
          </w:tcPr>
          <w:p>
            <w:pPr>
              <w:jc w:val="center"/>
            </w:pPr>
            <w:r>
              <w:rPr>
                <w:rFonts w:ascii="Calibri" w:hAnsi="Calibri"/>
                <w:color w:val="282828"/>
                <w:sz w:val="18"/>
              </w:rPr>
              <w:t>1</w:t>
            </w:r>
          </w:p>
        </w:tc>
        <w:tc>
          <w:tcPr>
            <w:tcW w:type="dxa" w:w="1440"/>
            <w:shd w:fill="FFFFFF"/>
            <w:tcMar>
              <w:top w:w="80" w:type="dxa"/>
              <w:bottom w:w="80" w:type="dxa"/>
              <w:left w:w="120" w:type="dxa"/>
              <w:right w:w="120" w:type="dxa"/>
            </w:tcMar>
          </w:tcPr>
          <w:p>
            <w:pPr>
              <w:jc w:val="center"/>
            </w:pPr>
            <w:r>
              <w:rPr>
                <w:rFonts w:ascii="Calibri" w:hAnsi="Calibri"/>
                <w:color w:val="282828"/>
                <w:sz w:val="18"/>
              </w:rPr>
              <w:t>1</w:t>
            </w:r>
          </w:p>
        </w:tc>
        <w:tc>
          <w:tcPr>
            <w:tcW w:type="dxa" w:w="1728"/>
            <w:shd w:fill="FFFFFF"/>
            <w:tcMar>
              <w:top w:w="80" w:type="dxa"/>
              <w:bottom w:w="80" w:type="dxa"/>
              <w:left w:w="120" w:type="dxa"/>
              <w:right w:w="120" w:type="dxa"/>
            </w:tcMar>
          </w:tcPr>
          <w:p>
            <w:pPr>
              <w:jc w:val="center"/>
            </w:pPr>
            <w:r>
              <w:rPr>
                <w:rFonts w:ascii="Calibri" w:hAnsi="Calibri"/>
                <w:color w:val="282828"/>
                <w:sz w:val="18"/>
              </w:rPr>
              <w:t>2012-11-02</w:t>
            </w:r>
          </w:p>
        </w:tc>
        <w:tc>
          <w:tcPr>
            <w:tcW w:type="dxa" w:w="2592"/>
            <w:shd w:fill="FFFFFF"/>
            <w:tcMar>
              <w:top w:w="80" w:type="dxa"/>
              <w:bottom w:w="80" w:type="dxa"/>
              <w:left w:w="120" w:type="dxa"/>
              <w:right w:w="120" w:type="dxa"/>
            </w:tcMar>
          </w:tcPr>
          <w:p>
            <w:pPr>
              <w:jc w:val="right"/>
            </w:pPr>
            <w:r>
              <w:rPr>
                <w:rFonts w:ascii="Calibri" w:hAnsi="Calibri"/>
                <w:color w:val="282828"/>
                <w:sz w:val="18"/>
              </w:rPr>
              <w:t>$34,124.50</w:t>
            </w:r>
          </w:p>
        </w:tc>
        <w:tc>
          <w:tcPr>
            <w:tcW w:type="dxa" w:w="2592"/>
            <w:shd w:fill="FFFFFF"/>
            <w:tcMar>
              <w:top w:w="80" w:type="dxa"/>
              <w:bottom w:w="80" w:type="dxa"/>
              <w:left w:w="120" w:type="dxa"/>
              <w:right w:w="120" w:type="dxa"/>
            </w:tcMar>
          </w:tcPr>
          <w:p>
            <w:pPr>
              <w:jc w:val="left"/>
            </w:pPr>
            <w:r>
              <w:rPr>
                <w:rFonts w:ascii="Calibri" w:hAnsi="Calibri"/>
                <w:color w:val="282828"/>
                <w:sz w:val="18"/>
              </w:rPr>
              <w:t>1_1_2012-11-02</w:t>
            </w:r>
          </w:p>
        </w:tc>
      </w:tr>
      <w:tr>
        <w:tc>
          <w:tcPr>
            <w:tcW w:type="dxa" w:w="1440"/>
            <w:shd w:fill="F9FAFC"/>
            <w:tcMar>
              <w:top w:w="80" w:type="dxa"/>
              <w:bottom w:w="80" w:type="dxa"/>
              <w:left w:w="120" w:type="dxa"/>
              <w:right w:w="120" w:type="dxa"/>
            </w:tcMar>
          </w:tcPr>
          <w:p>
            <w:pPr>
              <w:jc w:val="center"/>
            </w:pPr>
            <w:r>
              <w:rPr>
                <w:rFonts w:ascii="Calibri" w:hAnsi="Calibri"/>
                <w:color w:val="282828"/>
                <w:sz w:val="18"/>
              </w:rPr>
              <w:t>1</w:t>
            </w:r>
          </w:p>
        </w:tc>
        <w:tc>
          <w:tcPr>
            <w:tcW w:type="dxa" w:w="1440"/>
            <w:shd w:fill="F9FAFC"/>
            <w:tcMar>
              <w:top w:w="80" w:type="dxa"/>
              <w:bottom w:w="80" w:type="dxa"/>
              <w:left w:w="120" w:type="dxa"/>
              <w:right w:w="120" w:type="dxa"/>
            </w:tcMar>
          </w:tcPr>
          <w:p>
            <w:pPr>
              <w:jc w:val="center"/>
            </w:pPr>
            <w:r>
              <w:rPr>
                <w:rFonts w:ascii="Calibri" w:hAnsi="Calibri"/>
                <w:color w:val="282828"/>
                <w:sz w:val="18"/>
              </w:rPr>
              <w:t>1</w:t>
            </w:r>
          </w:p>
        </w:tc>
        <w:tc>
          <w:tcPr>
            <w:tcW w:type="dxa" w:w="1728"/>
            <w:shd w:fill="F9FAFC"/>
            <w:tcMar>
              <w:top w:w="80" w:type="dxa"/>
              <w:bottom w:w="80" w:type="dxa"/>
              <w:left w:w="120" w:type="dxa"/>
              <w:right w:w="120" w:type="dxa"/>
            </w:tcMar>
          </w:tcPr>
          <w:p>
            <w:pPr>
              <w:jc w:val="center"/>
            </w:pPr>
            <w:r>
              <w:rPr>
                <w:rFonts w:ascii="Calibri" w:hAnsi="Calibri"/>
                <w:color w:val="282828"/>
                <w:sz w:val="18"/>
              </w:rPr>
              <w:t>2012-11-09</w:t>
            </w:r>
          </w:p>
        </w:tc>
        <w:tc>
          <w:tcPr>
            <w:tcW w:type="dxa" w:w="2592"/>
            <w:shd w:fill="F9FAFC"/>
            <w:tcMar>
              <w:top w:w="80" w:type="dxa"/>
              <w:bottom w:w="80" w:type="dxa"/>
              <w:left w:w="120" w:type="dxa"/>
              <w:right w:w="120" w:type="dxa"/>
            </w:tcMar>
          </w:tcPr>
          <w:p>
            <w:pPr>
              <w:jc w:val="right"/>
            </w:pPr>
            <w:r>
              <w:rPr>
                <w:rFonts w:ascii="Calibri" w:hAnsi="Calibri"/>
                <w:color w:val="282828"/>
                <w:sz w:val="18"/>
              </w:rPr>
              <w:t>$21,450.80</w:t>
            </w:r>
          </w:p>
        </w:tc>
        <w:tc>
          <w:tcPr>
            <w:tcW w:type="dxa" w:w="2592"/>
            <w:shd w:fill="F9FAFC"/>
            <w:tcMar>
              <w:top w:w="80" w:type="dxa"/>
              <w:bottom w:w="80" w:type="dxa"/>
              <w:left w:w="120" w:type="dxa"/>
              <w:right w:w="120" w:type="dxa"/>
            </w:tcMar>
          </w:tcPr>
          <w:p>
            <w:pPr>
              <w:jc w:val="left"/>
            </w:pPr>
            <w:r>
              <w:rPr>
                <w:rFonts w:ascii="Calibri" w:hAnsi="Calibri"/>
                <w:color w:val="282828"/>
                <w:sz w:val="18"/>
              </w:rPr>
              <w:t>1_1_2012-11-09</w:t>
            </w:r>
          </w:p>
        </w:tc>
      </w:tr>
      <w:tr>
        <w:tc>
          <w:tcPr>
            <w:tcW w:type="dxa" w:w="1440"/>
            <w:shd w:fill="FFFFFF"/>
            <w:tcMar>
              <w:top w:w="80" w:type="dxa"/>
              <w:bottom w:w="80" w:type="dxa"/>
              <w:left w:w="120" w:type="dxa"/>
              <w:right w:w="120" w:type="dxa"/>
            </w:tcMar>
          </w:tcPr>
          <w:p>
            <w:pPr>
              <w:jc w:val="center"/>
            </w:pPr>
            <w:r>
              <w:rPr>
                <w:rFonts w:ascii="Calibri" w:hAnsi="Calibri"/>
                <w:color w:val="282828"/>
                <w:sz w:val="18"/>
              </w:rPr>
              <w:t>1</w:t>
            </w:r>
          </w:p>
        </w:tc>
        <w:tc>
          <w:tcPr>
            <w:tcW w:type="dxa" w:w="1440"/>
            <w:shd w:fill="FFFFFF"/>
            <w:tcMar>
              <w:top w:w="80" w:type="dxa"/>
              <w:bottom w:w="80" w:type="dxa"/>
              <w:left w:w="120" w:type="dxa"/>
              <w:right w:w="120" w:type="dxa"/>
            </w:tcMar>
          </w:tcPr>
          <w:p>
            <w:pPr>
              <w:jc w:val="center"/>
            </w:pPr>
            <w:r>
              <w:rPr>
                <w:rFonts w:ascii="Calibri" w:hAnsi="Calibri"/>
                <w:color w:val="282828"/>
                <w:sz w:val="18"/>
              </w:rPr>
              <w:t>1</w:t>
            </w:r>
          </w:p>
        </w:tc>
        <w:tc>
          <w:tcPr>
            <w:tcW w:type="dxa" w:w="1728"/>
            <w:shd w:fill="FFFFFF"/>
            <w:tcMar>
              <w:top w:w="80" w:type="dxa"/>
              <w:bottom w:w="80" w:type="dxa"/>
              <w:left w:w="120" w:type="dxa"/>
              <w:right w:w="120" w:type="dxa"/>
            </w:tcMar>
          </w:tcPr>
          <w:p>
            <w:pPr>
              <w:jc w:val="center"/>
            </w:pPr>
            <w:r>
              <w:rPr>
                <w:rFonts w:ascii="Calibri" w:hAnsi="Calibri"/>
                <w:color w:val="282828"/>
                <w:sz w:val="18"/>
              </w:rPr>
              <w:t>2012-11-16</w:t>
            </w:r>
          </w:p>
        </w:tc>
        <w:tc>
          <w:tcPr>
            <w:tcW w:type="dxa" w:w="2592"/>
            <w:shd w:fill="FFFFFF"/>
            <w:tcMar>
              <w:top w:w="80" w:type="dxa"/>
              <w:bottom w:w="80" w:type="dxa"/>
              <w:left w:w="120" w:type="dxa"/>
              <w:right w:w="120" w:type="dxa"/>
            </w:tcMar>
          </w:tcPr>
          <w:p>
            <w:pPr>
              <w:jc w:val="right"/>
            </w:pPr>
            <w:r>
              <w:rPr>
                <w:rFonts w:ascii="Calibri" w:hAnsi="Calibri"/>
                <w:color w:val="282828"/>
                <w:sz w:val="18"/>
              </w:rPr>
              <w:t>$19,230.15</w:t>
            </w:r>
          </w:p>
        </w:tc>
        <w:tc>
          <w:tcPr>
            <w:tcW w:type="dxa" w:w="2592"/>
            <w:shd w:fill="FFFFFF"/>
            <w:tcMar>
              <w:top w:w="80" w:type="dxa"/>
              <w:bottom w:w="80" w:type="dxa"/>
              <w:left w:w="120" w:type="dxa"/>
              <w:right w:w="120" w:type="dxa"/>
            </w:tcMar>
          </w:tcPr>
          <w:p>
            <w:pPr>
              <w:jc w:val="left"/>
            </w:pPr>
            <w:r>
              <w:rPr>
                <w:rFonts w:ascii="Calibri" w:hAnsi="Calibri"/>
                <w:color w:val="282828"/>
                <w:sz w:val="18"/>
              </w:rPr>
              <w:t>1_1_2012-11-16</w:t>
            </w:r>
          </w:p>
        </w:tc>
      </w:tr>
      <w:tr>
        <w:tc>
          <w:tcPr>
            <w:tcW w:type="dxa" w:w="1440"/>
            <w:shd w:fill="F9FAFC"/>
            <w:tcMar>
              <w:top w:w="80" w:type="dxa"/>
              <w:bottom w:w="80" w:type="dxa"/>
              <w:left w:w="120" w:type="dxa"/>
              <w:right w:w="120" w:type="dxa"/>
            </w:tcMar>
          </w:tcPr>
          <w:p>
            <w:pPr>
              <w:jc w:val="center"/>
            </w:pPr>
            <w:r>
              <w:rPr>
                <w:rFonts w:ascii="Calibri" w:hAnsi="Calibri"/>
                <w:color w:val="282828"/>
                <w:sz w:val="18"/>
              </w:rPr>
              <w:t>1</w:t>
            </w:r>
          </w:p>
        </w:tc>
        <w:tc>
          <w:tcPr>
            <w:tcW w:type="dxa" w:w="1440"/>
            <w:shd w:fill="F9FAFC"/>
            <w:tcMar>
              <w:top w:w="80" w:type="dxa"/>
              <w:bottom w:w="80" w:type="dxa"/>
              <w:left w:w="120" w:type="dxa"/>
              <w:right w:w="120" w:type="dxa"/>
            </w:tcMar>
          </w:tcPr>
          <w:p>
            <w:pPr>
              <w:jc w:val="center"/>
            </w:pPr>
            <w:r>
              <w:rPr>
                <w:rFonts w:ascii="Calibri" w:hAnsi="Calibri"/>
                <w:color w:val="282828"/>
                <w:sz w:val="18"/>
              </w:rPr>
              <w:t>1</w:t>
            </w:r>
          </w:p>
        </w:tc>
        <w:tc>
          <w:tcPr>
            <w:tcW w:type="dxa" w:w="1728"/>
            <w:shd w:fill="F9FAFC"/>
            <w:tcMar>
              <w:top w:w="80" w:type="dxa"/>
              <w:bottom w:w="80" w:type="dxa"/>
              <w:left w:w="120" w:type="dxa"/>
              <w:right w:w="120" w:type="dxa"/>
            </w:tcMar>
          </w:tcPr>
          <w:p>
            <w:pPr>
              <w:jc w:val="center"/>
            </w:pPr>
            <w:r>
              <w:rPr>
                <w:rFonts w:ascii="Calibri" w:hAnsi="Calibri"/>
                <w:color w:val="282828"/>
                <w:sz w:val="18"/>
              </w:rPr>
              <w:t>2012-11-23</w:t>
            </w:r>
          </w:p>
        </w:tc>
        <w:tc>
          <w:tcPr>
            <w:tcW w:type="dxa" w:w="2592"/>
            <w:shd w:fill="F9FAFC"/>
            <w:tcMar>
              <w:top w:w="80" w:type="dxa"/>
              <w:bottom w:w="80" w:type="dxa"/>
              <w:left w:w="120" w:type="dxa"/>
              <w:right w:w="120" w:type="dxa"/>
            </w:tcMar>
          </w:tcPr>
          <w:p>
            <w:pPr>
              <w:jc w:val="right"/>
            </w:pPr>
            <w:r>
              <w:rPr>
                <w:rFonts w:ascii="Calibri" w:hAnsi="Calibri"/>
                <w:color w:val="282828"/>
                <w:sz w:val="18"/>
              </w:rPr>
              <w:t>$48,760.20</w:t>
            </w:r>
          </w:p>
        </w:tc>
        <w:tc>
          <w:tcPr>
            <w:tcW w:type="dxa" w:w="2592"/>
            <w:shd w:fill="F9FAFC"/>
            <w:tcMar>
              <w:top w:w="80" w:type="dxa"/>
              <w:bottom w:w="80" w:type="dxa"/>
              <w:left w:w="120" w:type="dxa"/>
              <w:right w:w="120" w:type="dxa"/>
            </w:tcMar>
          </w:tcPr>
          <w:p>
            <w:pPr>
              <w:jc w:val="left"/>
            </w:pPr>
            <w:r>
              <w:rPr>
                <w:rFonts w:ascii="Calibri" w:hAnsi="Calibri"/>
                <w:color w:val="282828"/>
                <w:sz w:val="18"/>
              </w:rPr>
              <w:t>1_1_2012-11-23</w:t>
            </w:r>
          </w:p>
        </w:tc>
      </w:tr>
      <w:tr>
        <w:tc>
          <w:tcPr>
            <w:tcW w:type="dxa" w:w="1440"/>
            <w:shd w:fill="FFFFFF"/>
            <w:tcMar>
              <w:top w:w="80" w:type="dxa"/>
              <w:bottom w:w="80" w:type="dxa"/>
              <w:left w:w="120" w:type="dxa"/>
              <w:right w:w="120" w:type="dxa"/>
            </w:tcMar>
          </w:tcPr>
          <w:p>
            <w:pPr>
              <w:jc w:val="center"/>
            </w:pPr>
            <w:r>
              <w:rPr>
                <w:rFonts w:ascii="Calibri" w:hAnsi="Calibri"/>
                <w:color w:val="282828"/>
                <w:sz w:val="18"/>
              </w:rPr>
              <w:t>1</w:t>
            </w:r>
          </w:p>
        </w:tc>
        <w:tc>
          <w:tcPr>
            <w:tcW w:type="dxa" w:w="1440"/>
            <w:shd w:fill="FFFFFF"/>
            <w:tcMar>
              <w:top w:w="80" w:type="dxa"/>
              <w:bottom w:w="80" w:type="dxa"/>
              <w:left w:w="120" w:type="dxa"/>
              <w:right w:w="120" w:type="dxa"/>
            </w:tcMar>
          </w:tcPr>
          <w:p>
            <w:pPr>
              <w:jc w:val="center"/>
            </w:pPr>
            <w:r>
              <w:rPr>
                <w:rFonts w:ascii="Calibri" w:hAnsi="Calibri"/>
                <w:color w:val="282828"/>
                <w:sz w:val="18"/>
              </w:rPr>
              <w:t>1</w:t>
            </w:r>
          </w:p>
        </w:tc>
        <w:tc>
          <w:tcPr>
            <w:tcW w:type="dxa" w:w="1728"/>
            <w:shd w:fill="FFFFFF"/>
            <w:tcMar>
              <w:top w:w="80" w:type="dxa"/>
              <w:bottom w:w="80" w:type="dxa"/>
              <w:left w:w="120" w:type="dxa"/>
              <w:right w:w="120" w:type="dxa"/>
            </w:tcMar>
          </w:tcPr>
          <w:p>
            <w:pPr>
              <w:jc w:val="center"/>
            </w:pPr>
            <w:r>
              <w:rPr>
                <w:rFonts w:ascii="Calibri" w:hAnsi="Calibri"/>
                <w:color w:val="282828"/>
                <w:sz w:val="18"/>
              </w:rPr>
              <w:t>2012-11-30</w:t>
            </w:r>
          </w:p>
        </w:tc>
        <w:tc>
          <w:tcPr>
            <w:tcW w:type="dxa" w:w="2592"/>
            <w:shd w:fill="FFFFFF"/>
            <w:tcMar>
              <w:top w:w="80" w:type="dxa"/>
              <w:bottom w:w="80" w:type="dxa"/>
              <w:left w:w="120" w:type="dxa"/>
              <w:right w:w="120" w:type="dxa"/>
            </w:tcMar>
          </w:tcPr>
          <w:p>
            <w:pPr>
              <w:jc w:val="right"/>
            </w:pPr>
            <w:r>
              <w:rPr>
                <w:rFonts w:ascii="Calibri" w:hAnsi="Calibri"/>
                <w:color w:val="282828"/>
                <w:sz w:val="18"/>
              </w:rPr>
              <w:t>$24,510.40</w:t>
            </w:r>
          </w:p>
        </w:tc>
        <w:tc>
          <w:tcPr>
            <w:tcW w:type="dxa" w:w="2592"/>
            <w:shd w:fill="FFFFFF"/>
            <w:tcMar>
              <w:top w:w="80" w:type="dxa"/>
              <w:bottom w:w="80" w:type="dxa"/>
              <w:left w:w="120" w:type="dxa"/>
              <w:right w:w="120" w:type="dxa"/>
            </w:tcMar>
          </w:tcPr>
          <w:p>
            <w:pPr>
              <w:jc w:val="left"/>
            </w:pPr>
            <w:r>
              <w:rPr>
                <w:rFonts w:ascii="Calibri" w:hAnsi="Calibri"/>
                <w:color w:val="282828"/>
                <w:sz w:val="18"/>
              </w:rPr>
              <w:t>1_1_2012-11-30</w:t>
            </w:r>
          </w:p>
        </w:tc>
      </w:tr>
      <w:tr>
        <w:tc>
          <w:tcPr>
            <w:tcW w:type="dxa" w:w="1440"/>
            <w:shd w:fill="F9FAFC"/>
            <w:tcMar>
              <w:top w:w="80" w:type="dxa"/>
              <w:bottom w:w="80" w:type="dxa"/>
              <w:left w:w="120" w:type="dxa"/>
              <w:right w:w="120" w:type="dxa"/>
            </w:tcMar>
          </w:tcPr>
          <w:p>
            <w:pPr>
              <w:jc w:val="center"/>
            </w:pPr>
            <w:r>
              <w:rPr>
                <w:rFonts w:ascii="Calibri" w:hAnsi="Calibri"/>
                <w:color w:val="282828"/>
                <w:sz w:val="18"/>
              </w:rPr>
              <w:t>1</w:t>
            </w:r>
          </w:p>
        </w:tc>
        <w:tc>
          <w:tcPr>
            <w:tcW w:type="dxa" w:w="1440"/>
            <w:shd w:fill="F9FAFC"/>
            <w:tcMar>
              <w:top w:w="80" w:type="dxa"/>
              <w:bottom w:w="80" w:type="dxa"/>
              <w:left w:w="120" w:type="dxa"/>
              <w:right w:w="120" w:type="dxa"/>
            </w:tcMar>
          </w:tcPr>
          <w:p>
            <w:pPr>
              <w:jc w:val="center"/>
            </w:pPr>
            <w:r>
              <w:rPr>
                <w:rFonts w:ascii="Calibri" w:hAnsi="Calibri"/>
                <w:color w:val="282828"/>
                <w:sz w:val="18"/>
              </w:rPr>
              <w:t>1</w:t>
            </w:r>
          </w:p>
        </w:tc>
        <w:tc>
          <w:tcPr>
            <w:tcW w:type="dxa" w:w="1728"/>
            <w:shd w:fill="F9FAFC"/>
            <w:tcMar>
              <w:top w:w="80" w:type="dxa"/>
              <w:bottom w:w="80" w:type="dxa"/>
              <w:left w:w="120" w:type="dxa"/>
              <w:right w:w="120" w:type="dxa"/>
            </w:tcMar>
          </w:tcPr>
          <w:p>
            <w:pPr>
              <w:jc w:val="center"/>
            </w:pPr>
            <w:r>
              <w:rPr>
                <w:rFonts w:ascii="Calibri" w:hAnsi="Calibri"/>
                <w:color w:val="282828"/>
                <w:sz w:val="18"/>
              </w:rPr>
              <w:t>2012-12-07</w:t>
            </w:r>
          </w:p>
        </w:tc>
        <w:tc>
          <w:tcPr>
            <w:tcW w:type="dxa" w:w="2592"/>
            <w:shd w:fill="F9FAFC"/>
            <w:tcMar>
              <w:top w:w="80" w:type="dxa"/>
              <w:bottom w:w="80" w:type="dxa"/>
              <w:left w:w="120" w:type="dxa"/>
              <w:right w:w="120" w:type="dxa"/>
            </w:tcMar>
          </w:tcPr>
          <w:p>
            <w:pPr>
              <w:jc w:val="right"/>
            </w:pPr>
            <w:r>
              <w:rPr>
                <w:rFonts w:ascii="Calibri" w:hAnsi="Calibri"/>
                <w:color w:val="282828"/>
                <w:sz w:val="18"/>
              </w:rPr>
              <w:t>$39,820.60</w:t>
            </w:r>
          </w:p>
        </w:tc>
        <w:tc>
          <w:tcPr>
            <w:tcW w:type="dxa" w:w="2592"/>
            <w:shd w:fill="F9FAFC"/>
            <w:tcMar>
              <w:top w:w="80" w:type="dxa"/>
              <w:bottom w:w="80" w:type="dxa"/>
              <w:left w:w="120" w:type="dxa"/>
              <w:right w:w="120" w:type="dxa"/>
            </w:tcMar>
          </w:tcPr>
          <w:p>
            <w:pPr>
              <w:jc w:val="left"/>
            </w:pPr>
            <w:r>
              <w:rPr>
                <w:rFonts w:ascii="Calibri" w:hAnsi="Calibri"/>
                <w:color w:val="282828"/>
                <w:sz w:val="18"/>
              </w:rPr>
              <w:t>1_1_2012-12-07</w:t>
            </w:r>
          </w:p>
        </w:tc>
      </w:tr>
      <w:tr>
        <w:tc>
          <w:tcPr>
            <w:tcW w:type="dxa" w:w="1440"/>
            <w:shd w:fill="FFFFFF"/>
            <w:tcMar>
              <w:top w:w="80" w:type="dxa"/>
              <w:bottom w:w="80" w:type="dxa"/>
              <w:left w:w="120" w:type="dxa"/>
              <w:right w:w="120" w:type="dxa"/>
            </w:tcMar>
          </w:tcPr>
          <w:p>
            <w:pPr>
              <w:jc w:val="center"/>
            </w:pPr>
            <w:r>
              <w:rPr>
                <w:rFonts w:ascii="Calibri" w:hAnsi="Calibri"/>
                <w:color w:val="282828"/>
                <w:sz w:val="18"/>
              </w:rPr>
              <w:t>1</w:t>
            </w:r>
          </w:p>
        </w:tc>
        <w:tc>
          <w:tcPr>
            <w:tcW w:type="dxa" w:w="1440"/>
            <w:shd w:fill="FFFFFF"/>
            <w:tcMar>
              <w:top w:w="80" w:type="dxa"/>
              <w:bottom w:w="80" w:type="dxa"/>
              <w:left w:w="120" w:type="dxa"/>
              <w:right w:w="120" w:type="dxa"/>
            </w:tcMar>
          </w:tcPr>
          <w:p>
            <w:pPr>
              <w:jc w:val="center"/>
            </w:pPr>
            <w:r>
              <w:rPr>
                <w:rFonts w:ascii="Calibri" w:hAnsi="Calibri"/>
                <w:color w:val="282828"/>
                <w:sz w:val="18"/>
              </w:rPr>
              <w:t>1</w:t>
            </w:r>
          </w:p>
        </w:tc>
        <w:tc>
          <w:tcPr>
            <w:tcW w:type="dxa" w:w="1728"/>
            <w:shd w:fill="FFFFFF"/>
            <w:tcMar>
              <w:top w:w="80" w:type="dxa"/>
              <w:bottom w:w="80" w:type="dxa"/>
              <w:left w:w="120" w:type="dxa"/>
              <w:right w:w="120" w:type="dxa"/>
            </w:tcMar>
          </w:tcPr>
          <w:p>
            <w:pPr>
              <w:jc w:val="center"/>
            </w:pPr>
            <w:r>
              <w:rPr>
                <w:rFonts w:ascii="Calibri" w:hAnsi="Calibri"/>
                <w:color w:val="282828"/>
                <w:sz w:val="18"/>
              </w:rPr>
              <w:t>2012-12-14</w:t>
            </w:r>
          </w:p>
        </w:tc>
        <w:tc>
          <w:tcPr>
            <w:tcW w:type="dxa" w:w="2592"/>
            <w:shd w:fill="FFFFFF"/>
            <w:tcMar>
              <w:top w:w="80" w:type="dxa"/>
              <w:bottom w:w="80" w:type="dxa"/>
              <w:left w:w="120" w:type="dxa"/>
              <w:right w:w="120" w:type="dxa"/>
            </w:tcMar>
          </w:tcPr>
          <w:p>
            <w:pPr>
              <w:jc w:val="right"/>
            </w:pPr>
            <w:r>
              <w:rPr>
                <w:rFonts w:ascii="Calibri" w:hAnsi="Calibri"/>
                <w:color w:val="282828"/>
                <w:sz w:val="18"/>
              </w:rPr>
              <w:t>$44,120.30</w:t>
            </w:r>
          </w:p>
        </w:tc>
        <w:tc>
          <w:tcPr>
            <w:tcW w:type="dxa" w:w="2592"/>
            <w:shd w:fill="FFFFFF"/>
            <w:tcMar>
              <w:top w:w="80" w:type="dxa"/>
              <w:bottom w:w="80" w:type="dxa"/>
              <w:left w:w="120" w:type="dxa"/>
              <w:right w:w="120" w:type="dxa"/>
            </w:tcMar>
          </w:tcPr>
          <w:p>
            <w:pPr>
              <w:jc w:val="left"/>
            </w:pPr>
            <w:r>
              <w:rPr>
                <w:rFonts w:ascii="Calibri" w:hAnsi="Calibri"/>
                <w:color w:val="282828"/>
                <w:sz w:val="18"/>
              </w:rPr>
              <w:t>1_1_2012-12-14</w:t>
            </w:r>
          </w:p>
        </w:tc>
      </w:tr>
      <w:tr>
        <w:tc>
          <w:tcPr>
            <w:tcW w:type="dxa" w:w="1440"/>
            <w:shd w:fill="F9FAFC"/>
            <w:tcMar>
              <w:top w:w="80" w:type="dxa"/>
              <w:bottom w:w="80" w:type="dxa"/>
              <w:left w:w="120" w:type="dxa"/>
              <w:right w:w="120" w:type="dxa"/>
            </w:tcMar>
          </w:tcPr>
          <w:p>
            <w:pPr>
              <w:jc w:val="center"/>
            </w:pPr>
            <w:r>
              <w:rPr>
                <w:rFonts w:ascii="Calibri" w:hAnsi="Calibri"/>
                <w:color w:val="282828"/>
                <w:sz w:val="18"/>
              </w:rPr>
              <w:t>1</w:t>
            </w:r>
          </w:p>
        </w:tc>
        <w:tc>
          <w:tcPr>
            <w:tcW w:type="dxa" w:w="1440"/>
            <w:shd w:fill="F9FAFC"/>
            <w:tcMar>
              <w:top w:w="80" w:type="dxa"/>
              <w:bottom w:w="80" w:type="dxa"/>
              <w:left w:w="120" w:type="dxa"/>
              <w:right w:w="120" w:type="dxa"/>
            </w:tcMar>
          </w:tcPr>
          <w:p>
            <w:pPr>
              <w:jc w:val="center"/>
            </w:pPr>
            <w:r>
              <w:rPr>
                <w:rFonts w:ascii="Calibri" w:hAnsi="Calibri"/>
                <w:color w:val="282828"/>
                <w:sz w:val="18"/>
              </w:rPr>
              <w:t>1</w:t>
            </w:r>
          </w:p>
        </w:tc>
        <w:tc>
          <w:tcPr>
            <w:tcW w:type="dxa" w:w="1728"/>
            <w:shd w:fill="F9FAFC"/>
            <w:tcMar>
              <w:top w:w="80" w:type="dxa"/>
              <w:bottom w:w="80" w:type="dxa"/>
              <w:left w:w="120" w:type="dxa"/>
              <w:right w:w="120" w:type="dxa"/>
            </w:tcMar>
          </w:tcPr>
          <w:p>
            <w:pPr>
              <w:jc w:val="center"/>
            </w:pPr>
            <w:r>
              <w:rPr>
                <w:rFonts w:ascii="Calibri" w:hAnsi="Calibri"/>
                <w:color w:val="282828"/>
                <w:sz w:val="18"/>
              </w:rPr>
              <w:t>2012-12-21</w:t>
            </w:r>
          </w:p>
        </w:tc>
        <w:tc>
          <w:tcPr>
            <w:tcW w:type="dxa" w:w="2592"/>
            <w:shd w:fill="F9FAFC"/>
            <w:tcMar>
              <w:top w:w="80" w:type="dxa"/>
              <w:bottom w:w="80" w:type="dxa"/>
              <w:left w:w="120" w:type="dxa"/>
              <w:right w:w="120" w:type="dxa"/>
            </w:tcMar>
          </w:tcPr>
          <w:p>
            <w:pPr>
              <w:jc w:val="right"/>
            </w:pPr>
            <w:r>
              <w:rPr>
                <w:rFonts w:ascii="Calibri" w:hAnsi="Calibri"/>
                <w:color w:val="282828"/>
                <w:sz w:val="18"/>
              </w:rPr>
              <w:t>$56,890.75</w:t>
            </w:r>
          </w:p>
        </w:tc>
        <w:tc>
          <w:tcPr>
            <w:tcW w:type="dxa" w:w="2592"/>
            <w:shd w:fill="F9FAFC"/>
            <w:tcMar>
              <w:top w:w="80" w:type="dxa"/>
              <w:bottom w:w="80" w:type="dxa"/>
              <w:left w:w="120" w:type="dxa"/>
              <w:right w:w="120" w:type="dxa"/>
            </w:tcMar>
          </w:tcPr>
          <w:p>
            <w:pPr>
              <w:jc w:val="left"/>
            </w:pPr>
            <w:r>
              <w:rPr>
                <w:rFonts w:ascii="Calibri" w:hAnsi="Calibri"/>
                <w:color w:val="282828"/>
                <w:sz w:val="18"/>
              </w:rPr>
              <w:t>1_1_2012-12-21</w:t>
            </w:r>
          </w:p>
        </w:tc>
      </w:tr>
      <w:tr>
        <w:tc>
          <w:tcPr>
            <w:tcW w:type="dxa" w:w="1440"/>
            <w:shd w:fill="FFFFFF"/>
            <w:tcMar>
              <w:top w:w="80" w:type="dxa"/>
              <w:bottom w:w="80" w:type="dxa"/>
              <w:left w:w="120" w:type="dxa"/>
              <w:right w:w="120" w:type="dxa"/>
            </w:tcMar>
          </w:tcPr>
          <w:p>
            <w:pPr>
              <w:jc w:val="center"/>
            </w:pPr>
            <w:r>
              <w:rPr>
                <w:rFonts w:ascii="Calibri" w:hAnsi="Calibri"/>
                <w:color w:val="282828"/>
                <w:sz w:val="18"/>
              </w:rPr>
              <w:t>1</w:t>
            </w:r>
          </w:p>
        </w:tc>
        <w:tc>
          <w:tcPr>
            <w:tcW w:type="dxa" w:w="1440"/>
            <w:shd w:fill="FFFFFF"/>
            <w:tcMar>
              <w:top w:w="80" w:type="dxa"/>
              <w:bottom w:w="80" w:type="dxa"/>
              <w:left w:w="120" w:type="dxa"/>
              <w:right w:w="120" w:type="dxa"/>
            </w:tcMar>
          </w:tcPr>
          <w:p>
            <w:pPr>
              <w:jc w:val="center"/>
            </w:pPr>
            <w:r>
              <w:rPr>
                <w:rFonts w:ascii="Calibri" w:hAnsi="Calibri"/>
                <w:color w:val="282828"/>
                <w:sz w:val="18"/>
              </w:rPr>
              <w:t>1</w:t>
            </w:r>
          </w:p>
        </w:tc>
        <w:tc>
          <w:tcPr>
            <w:tcW w:type="dxa" w:w="1728"/>
            <w:shd w:fill="FFFFFF"/>
            <w:tcMar>
              <w:top w:w="80" w:type="dxa"/>
              <w:bottom w:w="80" w:type="dxa"/>
              <w:left w:w="120" w:type="dxa"/>
              <w:right w:w="120" w:type="dxa"/>
            </w:tcMar>
          </w:tcPr>
          <w:p>
            <w:pPr>
              <w:jc w:val="center"/>
            </w:pPr>
            <w:r>
              <w:rPr>
                <w:rFonts w:ascii="Calibri" w:hAnsi="Calibri"/>
                <w:color w:val="282828"/>
                <w:sz w:val="18"/>
              </w:rPr>
              <w:t>2012-12-28</w:t>
            </w:r>
          </w:p>
        </w:tc>
        <w:tc>
          <w:tcPr>
            <w:tcW w:type="dxa" w:w="2592"/>
            <w:shd w:fill="FFFFFF"/>
            <w:tcMar>
              <w:top w:w="80" w:type="dxa"/>
              <w:bottom w:w="80" w:type="dxa"/>
              <w:left w:w="120" w:type="dxa"/>
              <w:right w:w="120" w:type="dxa"/>
            </w:tcMar>
          </w:tcPr>
          <w:p>
            <w:pPr>
              <w:jc w:val="right"/>
            </w:pPr>
            <w:r>
              <w:rPr>
                <w:rFonts w:ascii="Calibri" w:hAnsi="Calibri"/>
                <w:color w:val="282828"/>
                <w:sz w:val="18"/>
              </w:rPr>
              <w:t>$18,430.10</w:t>
            </w:r>
          </w:p>
        </w:tc>
        <w:tc>
          <w:tcPr>
            <w:tcW w:type="dxa" w:w="2592"/>
            <w:shd w:fill="FFFFFF"/>
            <w:tcMar>
              <w:top w:w="80" w:type="dxa"/>
              <w:bottom w:w="80" w:type="dxa"/>
              <w:left w:w="120" w:type="dxa"/>
              <w:right w:w="120" w:type="dxa"/>
            </w:tcMar>
          </w:tcPr>
          <w:p>
            <w:pPr>
              <w:jc w:val="left"/>
            </w:pPr>
            <w:r>
              <w:rPr>
                <w:rFonts w:ascii="Calibri" w:hAnsi="Calibri"/>
                <w:color w:val="282828"/>
                <w:sz w:val="18"/>
              </w:rPr>
              <w:t>1_1_2012-12-28</w:t>
            </w:r>
          </w:p>
        </w:tc>
      </w:tr>
      <w:tr>
        <w:tc>
          <w:tcPr>
            <w:tcW w:type="dxa" w:w="1440"/>
            <w:shd w:fill="F9FAFC"/>
            <w:tcMar>
              <w:top w:w="80" w:type="dxa"/>
              <w:bottom w:w="80" w:type="dxa"/>
              <w:left w:w="120" w:type="dxa"/>
              <w:right w:w="120" w:type="dxa"/>
            </w:tcMar>
          </w:tcPr>
          <w:p>
            <w:pPr>
              <w:jc w:val="center"/>
            </w:pPr>
            <w:r>
              <w:rPr>
                <w:rFonts w:ascii="Calibri" w:hAnsi="Calibri"/>
                <w:color w:val="282828"/>
                <w:sz w:val="18"/>
              </w:rPr>
              <w:t>1</w:t>
            </w:r>
          </w:p>
        </w:tc>
        <w:tc>
          <w:tcPr>
            <w:tcW w:type="dxa" w:w="1440"/>
            <w:shd w:fill="F9FAFC"/>
            <w:tcMar>
              <w:top w:w="80" w:type="dxa"/>
              <w:bottom w:w="80" w:type="dxa"/>
              <w:left w:w="120" w:type="dxa"/>
              <w:right w:w="120" w:type="dxa"/>
            </w:tcMar>
          </w:tcPr>
          <w:p>
            <w:pPr>
              <w:jc w:val="center"/>
            </w:pPr>
            <w:r>
              <w:rPr>
                <w:rFonts w:ascii="Calibri" w:hAnsi="Calibri"/>
                <w:color w:val="282828"/>
                <w:sz w:val="18"/>
              </w:rPr>
              <w:t>1</w:t>
            </w:r>
          </w:p>
        </w:tc>
        <w:tc>
          <w:tcPr>
            <w:tcW w:type="dxa" w:w="1728"/>
            <w:shd w:fill="F9FAFC"/>
            <w:tcMar>
              <w:top w:w="80" w:type="dxa"/>
              <w:bottom w:w="80" w:type="dxa"/>
              <w:left w:w="120" w:type="dxa"/>
              <w:right w:w="120" w:type="dxa"/>
            </w:tcMar>
          </w:tcPr>
          <w:p>
            <w:pPr>
              <w:jc w:val="center"/>
            </w:pPr>
            <w:r>
              <w:rPr>
                <w:rFonts w:ascii="Calibri" w:hAnsi="Calibri"/>
                <w:color w:val="282828"/>
                <w:sz w:val="18"/>
              </w:rPr>
              <w:t>2013-01-04</w:t>
            </w:r>
          </w:p>
        </w:tc>
        <w:tc>
          <w:tcPr>
            <w:tcW w:type="dxa" w:w="2592"/>
            <w:shd w:fill="F9FAFC"/>
            <w:tcMar>
              <w:top w:w="80" w:type="dxa"/>
              <w:bottom w:w="80" w:type="dxa"/>
              <w:left w:w="120" w:type="dxa"/>
              <w:right w:w="120" w:type="dxa"/>
            </w:tcMar>
          </w:tcPr>
          <w:p>
            <w:pPr>
              <w:jc w:val="right"/>
            </w:pPr>
            <w:r>
              <w:rPr>
                <w:rFonts w:ascii="Calibri" w:hAnsi="Calibri"/>
                <w:color w:val="282828"/>
                <w:sz w:val="18"/>
              </w:rPr>
              <w:t>$15,432.50</w:t>
            </w:r>
          </w:p>
        </w:tc>
        <w:tc>
          <w:tcPr>
            <w:tcW w:type="dxa" w:w="2592"/>
            <w:shd w:fill="F9FAFC"/>
            <w:tcMar>
              <w:top w:w="80" w:type="dxa"/>
              <w:bottom w:w="80" w:type="dxa"/>
              <w:left w:w="120" w:type="dxa"/>
              <w:right w:w="120" w:type="dxa"/>
            </w:tcMar>
          </w:tcPr>
          <w:p>
            <w:pPr>
              <w:jc w:val="left"/>
            </w:pPr>
            <w:r>
              <w:rPr>
                <w:rFonts w:ascii="Calibri" w:hAnsi="Calibri"/>
                <w:color w:val="282828"/>
                <w:sz w:val="18"/>
              </w:rPr>
              <w:t>1_1_2013-01-04</w:t>
            </w:r>
          </w:p>
        </w:tc>
      </w:tr>
    </w:tbl>
    <w:p>
      <w:pPr>
        <w:spacing w:after="280" w:before="80" w:line="276" w:lineRule="auto"/>
        <w:jc w:val="center"/>
      </w:pPr>
      <w:r>
        <w:rPr>
          <w:rFonts w:ascii="Calibri" w:hAnsi="Calibri"/>
          <w:color w:val="282828"/>
          <w:sz w:val="22"/>
        </w:rPr>
        <w:t>Table C.1: Sample Test Forecasts Generated by Final Model</w:t>
      </w:r>
    </w:p>
    <w:p>
      <w:pPr>
        <w:keepNext/>
        <w:spacing w:before="240" w:after="100"/>
      </w:pPr>
      <w:r>
        <w:rPr>
          <w:rFonts w:ascii="Calibri" w:hAnsi="Calibri"/>
          <w:b/>
          <w:color w:val="2E5597"/>
          <w:sz w:val="26"/>
        </w:rPr>
        <w:t>APPENDIX C: INTERACTIVE STREAMLIT DASHBOARD</w:t>
      </w:r>
    </w:p>
    <w:p>
      <w:pPr>
        <w:spacing w:after="120" w:before="0" w:line="276" w:lineRule="auto"/>
        <w:jc w:val="both"/>
      </w:pPr>
      <w:r>
        <w:rPr>
          <w:rFonts w:ascii="Calibri" w:hAnsi="Calibri"/>
          <w:color w:val="282828"/>
          <w:sz w:val="22"/>
        </w:rPr>
        <w:t>The project includes an interactive web dashboard developed in app/app.py comprising 8 pages:</w:t>
        <w:br/>
        <w:t>1. Overview: Executive KPI cards (Total Sales, Average Sales, Store &amp; Department Counts) and high-level charts.</w:t>
        <w:br/>
        <w:t>2. Sales Trends: Interactive time-series explorer with weekly, monthly, and seasonal sub-views.</w:t>
        <w:br/>
        <w:t>3. Store Analysis: Comparative store revenue rankings and store square-footage scatter plots.</w:t>
        <w:br/>
        <w:t>4. Department Analysis: Interactive top-department breakdown and cross-store volume analysis.</w:t>
        <w:br/>
        <w:t>5. Holiday Impact: Statistical comparisons between holiday trading weeks and regular baseline weeks.</w:t>
        <w:br/>
        <w:t>6. Model Performance: Metric benchmarking table, comparative bar charts, and permutation feature importance.</w:t>
        <w:br/>
        <w:t>7. Predict Sales: Interactive simulation form allowing users to select Store, Department, Date, Markdown values, and economic indicators to receive real-time sales predictions.</w:t>
        <w:br/>
        <w:t>8. Business Insights: Auto-generated executive summaries and data-driven recommendations.</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808080"/>
        <w:sz w:val="17"/>
      </w:rPr>
      <w:t>Project Report — Thamizharasan 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08080"/>
        <w:sz w:val="17"/>
      </w:rPr>
      <w:t>IBM SkillsBuild Academic Internship | AI-Powered Retail Sales Analytics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